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15.2002.100 vom 5. August 2002</w:t>
      </w:r>
    </w:p>
    <w:p>
      <w:r>
        <w:t>TI Tribunale d'appello, 2002-08-05, IT</w:t>
      </w:r>
    </w:p>
    <w:p>
      <w:r>
        <w:rPr>
          <w:b/>
        </w:rPr>
        <w:t xml:space="preserve">Quelle: </w:t>
      </w:r>
      <w:r>
        <w:t>https://mcp.opencaselaw.ch/entscheid/ti_gerichte_15.2002.100</w:t>
      </w:r>
    </w:p>
    <w:p>
      <w:r>
        <w:t>FR: TI_GERICHTE 15.2002.100 du 5 août 2002</w:t>
      </w:r>
    </w:p>
    <w:p>
      <w:r>
        <w:t>IT: TI_GERICHTE 15.2002.100 del 5 agosto 2002</w:t>
      </w:r>
    </w:p>
    <w:p>
      <w:pPr>
        <w:pStyle w:val="Heading2"/>
      </w:pPr>
      <w:r>
        <w:t>Regeste</w:t>
      </w:r>
    </w:p>
    <w:p>
      <w:r>
        <w:t>Sentenza o decisione senza scheda</w:t>
      </w:r>
    </w:p>
    <w:p>
      <w:pPr>
        <w:pStyle w:val="Heading2"/>
      </w:pPr>
      <w:r>
        <w:t>Volltext</w:t>
      </w:r>
    </w:p>
    <w:p>
      <w:r>
        <w:t>Ticino Tribunale di appello diritto civile La Camera di esecuzione e fallimenti 05.08.2002 15.2002.100</w:t>
      </w:r>
    </w:p>
    <w:p>
      <w:r>
        <w:t>Sentenza o decisione senza scheda</w:t>
      </w:r>
    </w:p>
    <w:p>
      <w:r>
        <w:t>Incarto n. 15.2002.00100 Lugano 5 agosto 2002 /B/fc/kc In nome della Repubblica e Cantone del Ticino La Camera di esecuzione e fallimenti del Tribunale d'appello quale autorità di vigilanza composta dei giudici: Cometta, presidente, Pellegrini e Rusca segretaria: Baur Martinelli, vicecancelliera statuendo sul ricorso 4 luglio 2002 di contro __________ e meglio contro la notifica 1./4 luglio 2002 del PE n. __________ emesso nella procedura promossa contro la reclamante da __________ viste le osservazioni 12 luglio 2002 dell'UEF di __________; ritenuto in fatto:                 A. Con PE n. __________, emesso il 1. luglio 2002, __________ ha escusso la __________ per l'incasso di fr. 9'000.-- oltre interessi. Il PE che indica quale debitore: "__________"  è stato notificato il 4 luglio 2002 a __________, moglie di __________, la quale ha interposto opposizione. B. Con ricorso 4 luglio 2002 la __________ si è aggravata contro la notifica del PE sostenendo che il creditore conosceva il luogo dove viene svolta l'amministrazione dell'associazione, che non è al domicilio del presidente, bensì in via __________ a __________ dove l'associazione ha i propri uffici. Secondo la ricorrente è inaccettabile che la notifica del PE sia avvenuta in un luogo che non sia quello dell'amministrazione. C. Delle osservazioni dell'UEF di __________ si dirà, se del caso, in seguito. Considerato In diritto:               1. Secondo l'art. 9 cpv. 2 LPR l'Autorità di vigilanza, ricevuto un ricorso, può dichiararlo irricevibile senza ulteriori atti istruttori se lo stesso è infondato o temerario. 2.      a) Ex art. 65 cpv. 2 LEF se l'esecuzione è diretta contro una persona giuridica o contro una società, la notificazione si fa al rappresentante delle medesime, e cioè 2.    per una società anonima, una società in accomandita per azioni, una società a garanzia limitata, una società cooperativa o un'associazione iscritta nel registro di commercio, a qualunque membro dell'amministrazione o della direzione, come pure a qualunque direttore o procuratore; 3.    per altra persona giuridica, al presidente dell'amministrazione o all'amministratore; b) La __________ è un'associazione non iscritta a Registro di commercio. Di conseguenza ex art. 65 cpv. 2 n. 3 LEF il PE in oggetto doveva essere notificato al presidente dell'amministrazione o all'amministratore. L'indirizzo di __________ indicato sul PE in oggetto, quale presidente dell'associazione, e la relativa notifica nella sua abitazione alla moglie, che essendo persona della sua famiglia ex art. 64 cpv. 1 LEF era autorizzata a ricevere l'atto esecutivo in esame, sono pertanto corretti. c) In via abbondanziale va poi rilevato che, anche se si fosse verificato un errore di notifica, un PE non viene  annullato, quando è chiaro che il debitore l'ha ricevuto (DTF 104 III 12; Kurt Amonn/Dominik Gasser , Grundriss des Schuldbetreibungs- und Konkursrechts, Berna 1997, § 18 n. 19 p. 109). 3. Sulle spese occorre ricordare a futura memoria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Per questi motivi, richiamato l'art. 65 LEF pronuncia:           1. Il ricorso 4 luglio 2002 di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