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15.2001.45 vom 21. Mai 2001</w:t>
      </w:r>
    </w:p>
    <w:p>
      <w:r>
        <w:t>TI Tribunale d'appello, 2001-05-21, IT</w:t>
      </w:r>
    </w:p>
    <w:p>
      <w:r>
        <w:rPr>
          <w:b/>
        </w:rPr>
        <w:t xml:space="preserve">Quelle: </w:t>
      </w:r>
      <w:r>
        <w:t>https://mcp.opencaselaw.ch/entscheid/ti_gerichte_15.2001.45</w:t>
      </w:r>
    </w:p>
    <w:p>
      <w:r>
        <w:t>FR: TI_GERICHTE 15.2001.45 du 21 mai 2001</w:t>
      </w:r>
    </w:p>
    <w:p>
      <w:r>
        <w:t>IT: TI_GERICHTE 15.2001.45 del 21 maggio 2001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ex art. 17 LEF all'Autorità di vigilanza cantonale ha per oggetto non l'accertamento con giudizio di merito di un diritto materiale posto a fondamento di un'esecuzione forzata, bensì il provvedimento di un organo amministrativo. Il ricorso LEF è un istituto di natura amministrativa, il cui scopo è quello di controllare la legalità e la proporzionalità di una misura esecutiva ( Flavio Cometta , Basler Kommentar zum SchKG , Basilea/Ginevra/Monaco 1998, n. 1 ss. ad art. 17; Cometta , Commentario alla LPR , Lugano 1998, n. 3.c pag. 14 s.).</w:t>
      </w:r>
    </w:p>
    <w:p>
      <w:r>
        <w:rPr>
          <w:b/>
        </w:rPr>
        <w:t>E. 2</w:t>
      </w:r>
    </w:p>
    <w:p>
      <w:r>
        <w:t>Nel procedere al sequestro o al pignoramento del reddito le autorità di esecuzione sono tenute ad accertare d'ufficio le circostanze determinanti al momento dell'esecuzione del sequestro o del pignoramento, ossia il reddito del debitore e il fabbisogno suo o della famiglia ( DTF 112 III 21, 108 III 12, 106 III 13; Georges Vonder Mühll , Basler Kommentar zum SchKG , n. 17 ad art. 93), ritenuto che delle successive modifiche della situazione potrà essere tenuto conto soltanto mediante riesame del pignoramento (art. 93 cpv. 3 LEF; DTF 108 III 13; CEF vig. [15.2001.5] cons. 2).</w:t>
      </w:r>
    </w:p>
    <w:p>
      <w:r>
        <w:rPr>
          <w:b/>
        </w:rPr>
        <w:t>E. 3</w:t>
      </w:r>
    </w:p>
    <w:p>
      <w:r>
        <w:t>In casu occorre rilevare che il ricorrente, non avendo contestato al Tribunale federale la sentenza 16/19 gennaio 2001 di questa Camera, con la quale sono stati stimati d'ufficio i suoi redditi fissandoli in CHF 10'000.– mensili, e non avendo prodotto con il ricorso nessun nuovo elemento fattuale per la determinazione dei suoi redditi e delle sue spese, conferma il proprio comportamento poco collaborativo (cfr. CEFvig. [15.2000.195] cons. 3.2 fra le medesime parti). Di conseguenza il ricorso qui in esame si rivela palesemente privo di ogni buona ragione e al limite del temerario.</w:t>
      </w:r>
    </w:p>
    <w:p>
      <w:r>
        <w:rPr>
          <w:b/>
        </w:rPr>
        <w:t>E. 4</w:t>
      </w:r>
    </w:p>
    <w:p>
      <w:r>
        <w:t>Intimazione a: - __________ Per la Camera di esecuzione e fallimenti del Tribunale d’appello quale autorità di vigilanza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