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15.2001.309 vom 11. Januar 2002</w:t>
      </w:r>
    </w:p>
    <w:p>
      <w:r>
        <w:t>TI Tribunale d'appello, 2002-01-11, IT</w:t>
      </w:r>
    </w:p>
    <w:p>
      <w:r>
        <w:rPr>
          <w:b/>
        </w:rPr>
        <w:t xml:space="preserve">Quelle: </w:t>
      </w:r>
      <w:r>
        <w:t>https://mcp.opencaselaw.ch/entscheid/ti_gerichte_15.2001.309</w:t>
      </w:r>
    </w:p>
    <w:p>
      <w:r>
        <w:t>FR: TI_GERICHTE 15.2001.309 du 11 janvier 2002</w:t>
      </w:r>
    </w:p>
    <w:p>
      <w:r>
        <w:t>IT: TI_GERICHTE 15.2001.309 del 11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11.01.2002 15.2001.309</w:t>
      </w:r>
    </w:p>
    <w:p>
      <w:r>
        <w:t>Sentenza o decisione senza scheda</w:t>
      </w:r>
    </w:p>
    <w:p>
      <w:r>
        <w:t>Incarto n. 15.2001.00309 Lugano 11 gennaio 2002 /kc In nome della Repubblica e Cantone del Ticino La Camera di esecuzione e fallimenti del Tribunale d'appello quale autorità di vigilanza composta dei giudici: Cometta, presidente, Pellegrini e Rusca segretario: Cassina, vicecancelliere statuendo sul ricorso 6 dicembre 2001 di avv. __________ contro __________ nell’esecuzione n. __________ promossa contro __________, __________, da __________ richiamata l’ordinanza presidenziale 10 gennaio 2001 di non concessione dell’effetto sospensivo; preso atto del ritiro del ricorso comunicato dal ricorrente con scritto 20 dicembre 2001; considerato come il gravame sia così divenuto privo di oggetto; ritenuto che sulle tasse occorre ricordare a futura memoria che – benché la gratuità della procedura sia contraria al sistema di diritto amministrativo in cui si muove il ricorso secondo l'art. 17 LEF ( Jean–François Poudret 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           1. Il ricorso 6 dicembre 2001 dell’avv. __________, __________, è stralciato dai ruoli per intervenuto ritiro.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– __________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