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15.2001.300 vom 26. Februar 2002</w:t>
      </w:r>
    </w:p>
    <w:p>
      <w:r>
        <w:t>TI Tribunale d'appello, 2002-02-26, IT</w:t>
      </w:r>
    </w:p>
    <w:p>
      <w:r>
        <w:rPr>
          <w:b/>
        </w:rPr>
        <w:t xml:space="preserve">Quelle: </w:t>
      </w:r>
      <w:r>
        <w:t>https://mcp.opencaselaw.ch/entscheid/ti_gerichte_15.2001.300</w:t>
      </w:r>
    </w:p>
    <w:p>
      <w:r>
        <w:t>FR: TI_GERICHTE 15.2001.300 du 26 février 2002</w:t>
      </w:r>
    </w:p>
    <w:p>
      <w:r>
        <w:t>IT: TI_GERICHTE 15.2001.300 del 26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26.02.2002 15.2001.300</w:t>
      </w:r>
    </w:p>
    <w:p>
      <w:r>
        <w:t>Sentenza o decisione senza scheda</w:t>
      </w:r>
    </w:p>
    <w:p>
      <w:r>
        <w:t>Incarto n. 15.2001.00300 Lugano 26 febbraio 2002 / EC/fc/rgc In nome della Repubblica e Cantone del Ticino La Camera di esecuzione e fallimenti del Tribunale d'appello quale autorità di vigilanza composta dei giudici: Pellegrini, vicepresidente Rusca e Chiesa segretario: Cassina, vicecancelliere statuendo sul ricorso per ritardata giustizia del 20 novembre 2001 di __________ contro __________ nell’esecuzione n. __________ promossa dalla ricorrente nei confronti di e meglio contro la mancata tempestiva notifica del precetto esecutivo all’escusso; preso atto che nel frattempo l’UEF di __________ è riuscito a notificare a mezzo polizia il precetto esecutivo al debitore; ritenuto pertanto che l’atto ritardato è stato compiuto, il ricorso 16 novembre 2001 di __________ è da ritenere privo di oggetto e va stralciato dai ruoli; richiamati gli art. 17 cpv. 3, 20a cpv. 1 primo periodo LEF, art. 61 cpv. 2 lett. a e 62 cpv. 2 OTLEF pronuncia: 1. Il ricorso 16 novembre 2001 di __________, __________ __________ è stralciato dai ruoli.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Per la Camera di esecuzione e fallimenti del Tribunale d’appello quale autorità di vigilanza Il vicepresidente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