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15.2001.296 vom 11. Januar 2002</w:t>
      </w:r>
    </w:p>
    <w:p>
      <w:r>
        <w:t>TI Tribunale d'appello, 2002-01-11, IT</w:t>
      </w:r>
    </w:p>
    <w:p>
      <w:r>
        <w:rPr>
          <w:b/>
        </w:rPr>
        <w:t xml:space="preserve">Quelle: </w:t>
      </w:r>
      <w:r>
        <w:t>https://mcp.opencaselaw.ch/entscheid/ti_gerichte_15.2001.296</w:t>
      </w:r>
    </w:p>
    <w:p>
      <w:r>
        <w:t>FR: TI_GERICHTE 15.2001.296 du 11 janvier 2002</w:t>
      </w:r>
    </w:p>
    <w:p>
      <w:r>
        <w:t>IT: TI_GERICHTE 15.2001.296 del 11 gennaio 2002</w:t>
      </w:r>
    </w:p>
    <w:p>
      <w:pPr>
        <w:pStyle w:val="Heading2"/>
      </w:pPr>
      <w:r>
        <w:t>Regeste</w:t>
      </w:r>
    </w:p>
    <w:p>
      <w:r>
        <w:t>Sentenza o decisione senza scheda</w:t>
      </w:r>
    </w:p>
    <w:p>
      <w:pPr>
        <w:pStyle w:val="Heading2"/>
      </w:pPr>
      <w:r>
        <w:t>Erwägungen</w:t>
      </w:r>
    </w:p>
    <w:p>
      <w:r>
        <w:rPr>
          <w:b/>
        </w:rPr>
        <w:t>E. 11</w:t>
      </w:r>
    </w:p>
    <w:p>
      <w:r>
        <w:t>gennaio 2002 /EC/fc/kc In nome della Repubblica e Cantone del Ticino La Camera di esecuzione e fallimenti del Tribunale d'appello quale autorità di vigilanza Composta dei giudici: Cometta, presidente, Pellegrini, Rusca Segretario: Cassina, vicecancelliere statuendo sul ricorso 31 ottobre 2001 di __________ (patr. dall'avv. __________ contro l’operato dell’ Ufficio di esecuzione e fallimenti di Locarno e meglio contro il calcolo del minimo d’esistenza del debitore del 13 giugno/22 ottobre 2001 nell’ambito dell’esecuzione n. __________ promossa contro il ricorrente da __________ patr. dall'avv. __________ richiamata l’ordinanza presidenziale 21 novembre 2001 di concessione dell’effetto sospensivo parziale al ricorso, nel senso che l’eccedenza mensile pignorabile è determinata pendente lite in fr. 2'047.––; viste le osservazioni: –</w:t>
      </w:r>
    </w:p>
    <w:p>
      <w:r>
        <w:rPr>
          <w:b/>
        </w:rPr>
        <w:t>E. 15</w:t>
      </w:r>
    </w:p>
    <w:p>
      <w:r>
        <w:t>novembre 2001 di _________; –</w:t>
      </w:r>
    </w:p>
    <w:p>
      <w:r>
        <w:rPr>
          <w:b/>
        </w:rPr>
        <w:t>E. 20</w:t>
      </w:r>
    </w:p>
    <w:p>
      <w:r>
        <w:t>novembre 2001 dell’UEF di Locarno; esaminati atti e documenti; ritenuto in fatto:                  A _________ procede nei confronti di _________ per l’incasso del proprio credito di fr. 152'981.80 oltre accessori. Il 13 giugno 2001 l’UEF di Locarno ha proceduto al pignoramento del reddito nei confronti di _________, stabilendo l’eccedenza mensile pignorabile in fr. 3'547.–, determinata come segue: Introiti: Debitore                         fr.       8'847.– Totale mensile               fr.       8'847.–            fr.     8'847.– Minimo di esistenza: Minimo di base             fr.      1’100.– Alimenti                          fr.       3'000.– locazione                       fr.          700.– Cassa malati                 fr.          500.– Totale deduzioni           fr.       5'300.–            fr.     5'300.– Eccedenza mensile pignorabile                     fr. 3'547.––. B. Il</w:t>
      </w:r>
    </w:p>
    <w:p>
      <w:r>
        <w:rPr>
          <w:b/>
        </w:rPr>
        <w:t>E. 22</w:t>
      </w:r>
    </w:p>
    <w:p>
      <w:r>
        <w:t>agosto 1997 della __________ per un importo di CHF 400'000.–, per il quale la mutuataria doveva corrispondere un interesse annuo del 3,75%. Orbene volendo supporre che il tasso di interesse sia rimasto immutato e che la moglie dell’escusso non abbia mai provveduto a versare degli ammortamenti, il 3,75% annuo del capitale mutuato corrisponde a CHF 15'000.–, ossia a rate mensili di CHF 1’250.–. Nel caso in esame il ricorrente pretende che nel calcolo del minimo di esistenza venga calcolato a titolo di interessi ipotecari l'importo di fr. 1’500.– per l’abitazione di __________. Tale importo risulta proporzionato agli effettivi interessi ipotecari che il ricorrente dovrà pagare alla __________, ai contributi di diritto pubblico e alle rimanenti spese di manutenzione dell’abitazione che dovranno essere sopportate dal ricorrente, tra cui le spese di assicurazione dell’immobile. Nel calcolo del minimo d’esistenza dell’escusso l’importo di fr. 1'500.– mensili deve essere conteggiato in alternativa e non cumulativamente all’importo di fr. 700.– per spese di locazione: infatti, come rettamente osservato dalla procedente, è di tutta evidenza che se l’escusso può disporre dell’abitazione di __________, pagandone i relativi costi, egli non può anche beneficiare di ulteriori decurtazioni a titolo di non meglio precisati canoni locativi. c) E’ principio giurisprudenziale e dottrinale indiscusso che le spese fisse e correnti connesse all’uso di un’automobile rientrano nel minimo di esistenza del debitore solo se il veicolo viene dichiarato impignorabile ex art. 92 n. 3 LEF, ossia se il veicolo è necessario al debitore per l’esercizio della sua professione (cfr. DTF 117 III 22, 104 III 73, 97 III 52; Amonn/ Gasser , op. cit., § 23 n.27, p.170; Fritzsche/Walder , Schuldbetreibung und Konkurs nach schweizerischem Recht, vol. I, Zurigo 1984, §</w:t>
      </w:r>
    </w:p>
    <w:p>
      <w:r>
        <w:rPr>
          <w:b/>
        </w:rPr>
        <w:t>E. 24</w:t>
      </w:r>
    </w:p>
    <w:p>
      <w:r>
        <w:t>n. 60). In casu il ricorrente è pensionato e non esercita alcuna attività lavorativa: ne consegue dunque che le spese connesse all’uso dell’automobile non possono rientrare nel minimo di esistenza di _________. d) Per quanto riguarda la prospettata riduzione di fr. 2000.– mensili per imposte e di fr. 1'000.– circa quali interessi per un debito di conto corrente nei confronti della Banca __________ non attinente all’abitazione di __________ a __________, va evidenziato che perché si diano privilegi in diritto di determinati creditori occorre un’espressa norma di legge in tale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(DTF 112 III 18). Siffatto indirizzo giurisprudenziale concretizza l’intento del legislatore di lasciare all’escusso e alla sua famiglia quanto è assolutamente indispensabile ex art. 92 e 93 LEF per soddisfare i bisogni più elementari. E’ di tutta evidenza che le deduzioni prospettate dal ricorrente per il pagamento dei debiti per imposte e per interessi ipotecari non possono entrare in linea di conto per il calcolo del minimo vitale: alla luce dei principi giurisprudenziali richiamati, nulla giustifica il privilegio che il debitore pretende sia concesso a Confederazione, Cantone e Comune nonché alla __________ del Cantone Ticino quale asserita creditrice ipotecaria garantita da un fondo non adibito ad abitazione dell’escusso. Abbondanzialmente si rileva altresì che non vi sarebbe alcuna garanzia che gli importi di cui si chiede la deduzione vengano effettivamente versati ai creditori. 7.      a) Con osservazioni 15 novembre 2001 _________ ha rilevato che dalla p. 10 della sentenza 15 gennaio 2001 della Pretura di Locarno–Città risulta che il ricorrente “percepisce un’entrata mensile netta in veste di presidente del __________ fr. 1'335.–“, importo che dovrebbe essere considerato nel calcolo del suo minimo di esistenza, che raggiungerebbe in tal modo i fr. 10'182.– mensili netti. b) Sebbene il divieto della reformatio in peius sancito dall'art. 22 LPR concerne unicamente l'esito finale del gravame e pertanto le singole poste di reddito o di minimo esistenziale possono essere modificate dall'autorità di vigilanza anche a sfavore del ricorrente, in concreto dall’estratto del Registro di commercio attinente alla Officine idroelettriche di __________ risulta che _________ è stato radiato quale presidente del consiglio di amministrazione il 23 maggio 2001: ne consegue pertanto che alla data del pignoramento egli non poteva più disporre di un tale reddito. 8. Sulla base delle considerazioni espresse precedentemente il calcolo del minimo di esistenza di _________ si presenta come segue: Introiti: Debitore                         fr.       8'847.– Totale mensile               fr.       8'847.–            fr.     8'847.– Minimo di esistenza: Minimo di base             fr.      1’100.– Alimenti                          fr.       3'000.– oneri abitazione            fr.      1’500.– Cassa malati                 fr.          500.– Totale deduzioni           fr.       6'100.–            fr.     6'100.– Eccedenza mensile pignorabile                    fr.     2'747–. E’ pertanto pignorata l’eccedenza mensile di fr. 2'747.–. 9. Ne consegue il parziale accoglimento del gravame. Sulle tasse occorre ricordare che – benché la gratuità della procedura sia contraria al sistema di diritto amministrativo in cui si muove il ricorso secondo l’art. 17 LEF (cfr. Jean–François Poudret/Suzette Sandoz–Monod,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17, 92, 93 LEF; 22 LPR; pronuncia:           1. Il ricorso 31 ottobre 2001 dell’ing. _________, è parzialmente accolto. 2. Di conseguenza è ordinato il pignoramento dell’eccedenza mensile dell’ing. _________ di fr. 2'747.–.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