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15.2001.166 vom 22. Mai 2001</w:t>
      </w:r>
    </w:p>
    <w:p>
      <w:r>
        <w:t>TI Tribunale d'appello, 2001-05-22, IT</w:t>
      </w:r>
    </w:p>
    <w:p>
      <w:r>
        <w:rPr>
          <w:b/>
        </w:rPr>
        <w:t xml:space="preserve">Quelle: </w:t>
      </w:r>
      <w:r>
        <w:t>https://mcp.opencaselaw.ch/entscheid/ti_gerichte_15.2001.166</w:t>
      </w:r>
    </w:p>
    <w:p>
      <w:r>
        <w:t>FR: TI_GERICHTE 15.2001.166 du 22 mai 2001</w:t>
      </w:r>
    </w:p>
    <w:p>
      <w:r>
        <w:t>IT: TI_GERICHTE 15.2001.166 del 22 maggio 2001</w:t>
      </w:r>
    </w:p>
    <w:p>
      <w:pPr>
        <w:pStyle w:val="Heading2"/>
      </w:pPr>
      <w:r>
        <w:t>Regeste</w:t>
      </w:r>
    </w:p>
    <w:p>
      <w:r>
        <w:t>Sentenza o decisione senza scheda</w:t>
      </w:r>
    </w:p>
    <w:p>
      <w:pPr>
        <w:pStyle w:val="Heading2"/>
      </w:pPr>
      <w:r>
        <w:t>Erwägungen</w:t>
      </w:r>
    </w:p>
    <w:p>
      <w:r>
        <w:rPr>
          <w:b/>
        </w:rPr>
        <w:t>E. 1</w:t>
      </w:r>
    </w:p>
    <w:p>
      <w:r>
        <w:t>RFF):</w:t>
      </w:r>
    </w:p>
    <w:p>
      <w:r>
        <w:rPr>
          <w:b/>
        </w:rPr>
        <w:t>E. 2</w:t>
      </w:r>
    </w:p>
    <w:p>
      <w:r>
        <w:t>Nel caso di specie  con la propria domanda di esecuzione 6 luglio 2000 il creditore procedente __________ ha chiesto l’estensione del pegno alle pigioni relative allo stabile di cui alla part. __________ RFD di ____________________. Di conseguenza l’amministrazione è passata, partire da tale data, all’UEF di Bellinzona il quale, in applicazione dell’art. 94 cpv. 2 RFF, l’ha affidata alla __________. I proprietari del fondo, __________ e __________, sono stati avvisati il 21 luglio 2000 circa l’incasso delle pigioni da parte dell’UEF di Bellinzona, mentre analoga comunicazione agli inquilini è stata inviata il 28 agosto 2000. Di conseguenza le fatture della ditta __________, essendo riferite a prestazioni relative ad un periodo precedente l’avvio della procedura esecutiva, non rientrano negli interventi di amministrazione di competenza dell’UEF di Bellinzona e non possono quindi essere accollate all’esecuzione in oggetto. In particolare una fattura di fr. 1'906.40 si riferisce ad interventi effettuati nell’abitazione di __________ il 21 aprile 1999. Per quanto concerne invece la fattura di fr. 199.60 della ditta __________ riferita alla sostituzione del cilindro, la stessa non andrebbe pagata, in quanto si tratta di un intervento ordinato dagli escussi, i quali non hanno più la facoltà d’intervenire autonomamente nell’amministrazione dell’immobile in virtù dell’art. 94 cpv. 1 RFF. Ritenuto tuttavia che nelle proprie osservazioni l’UEF di Bellinzona ha affermato di aver già pagato la fattura in oggetto e che la sostituzione del cilindro è stata effettuata a favore di un inquilino dello stabile, si prescinde dall’accollare tale spesa agli escussi. Si ricorda comunque ai ricorrenti che in futuro dovranno astenersi da qualsiasi ingerenza nell’amministrazione dell’immobile part. __________ RFD di __________, la cui amministrazione compete unicamente all’UEF di Bellinzona. Lo stesso dicasi per la stipulazione di nuovi contratti di locazione.</w:t>
      </w:r>
    </w:p>
    <w:p>
      <w:r>
        <w:rPr>
          <w:b/>
        </w:rPr>
        <w:t>E. 3</w:t>
      </w:r>
    </w:p>
    <w:p>
      <w:r>
        <w:t>__________ e __________ contestano la decisione dell’UEF di Bellinzona di sostituire la caldaia dello stabile non ritenendo trattarsi di un intervento urgente. Orbene dagli atti  si evince che la sostituzione della caldaia si è resa necessaria dopo che i tecnici della ditta __________, incaricati dalla __________, hanno constatato l’impossibilità di procedere ad una riparazione della stessa. Di conseguenza, per evitare di lasciare gli inquilini senza riscaldamento ed acqua calda si è proceduto in data 15 febbraio 2001 alla sostituzione della caldaia. Tale agire è da ritenere corretto, rientrando la riparazione in questione tra gli interventi urgenti di cui all’art. 94 cpv 1 secondo periodo RFF.</w:t>
      </w:r>
    </w:p>
    <w:p>
      <w:r>
        <w:rPr>
          <w:b/>
        </w:rPr>
        <w:t>E. 4</w:t>
      </w:r>
    </w:p>
    <w:p>
      <w:r>
        <w:t>Intimazione a: - __________ Comunicazione all’UEF di Bellinzona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