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15.2001.123 vom 19. Dezember 2001</w:t>
      </w:r>
    </w:p>
    <w:p>
      <w:r>
        <w:t>TI Tribunale d'appello, 2001-12-19, IT</w:t>
      </w:r>
    </w:p>
    <w:p>
      <w:r>
        <w:rPr>
          <w:b/>
        </w:rPr>
        <w:t xml:space="preserve">Quelle: </w:t>
      </w:r>
      <w:r>
        <w:t>https://mcp.opencaselaw.ch/entscheid/ti_gerichte_15.2001.123</w:t>
      </w:r>
    </w:p>
    <w:p>
      <w:r>
        <w:t>FR: TI_GERICHTE 15.2001.123 du 19 décembre 2001</w:t>
      </w:r>
    </w:p>
    <w:p>
      <w:r>
        <w:t>IT: TI_GERICHTE 15.2001.123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15.2001.123</w:t>
      </w:r>
    </w:p>
    <w:p>
      <w:r>
        <w:t>Sentenza o decisione senza scheda</w:t>
      </w:r>
    </w:p>
    <w:p>
      <w:r>
        <w:t>Incarto n. 15.2001.00123 Lugano 19 dicembre 2001 /CJ/fc/fb In nome della Repubblica e Cantone del Ticino La Camera di esecuzione e fallimenti del Tribunale d'appello quale autorità di vigilanza composta dei giudici: Cometta, presidente, Pellegrini,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rna,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