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15.2001.00305 vom 5. Dezember 2001</w:t>
      </w:r>
    </w:p>
    <w:p>
      <w:r>
        <w:t>TI Tribunale d'appello, 2001-12-05, IT</w:t>
      </w:r>
    </w:p>
    <w:p>
      <w:r>
        <w:rPr>
          <w:b/>
        </w:rPr>
        <w:t xml:space="preserve">Quelle: </w:t>
      </w:r>
      <w:r>
        <w:t>https://mcp.opencaselaw.ch/entscheid/ti_gerichte_15.2001.00305</w:t>
      </w:r>
    </w:p>
    <w:p>
      <w:r>
        <w:t>FR: TI_GERICHTE 15.2001.00305 du 5 décembre 2001</w:t>
      </w:r>
    </w:p>
    <w:p>
      <w:r>
        <w:t>IT: TI_GERICHTE 15.2001.00305 del 5 dicembre 2001</w:t>
      </w:r>
    </w:p>
    <w:p>
      <w:pPr>
        <w:pStyle w:val="Heading2"/>
      </w:pPr>
      <w:r>
        <w:t>Regeste</w:t>
      </w:r>
    </w:p>
    <w:p>
      <w:r>
        <w:t>Sentenza o decisione senza scheda</w:t>
      </w:r>
    </w:p>
    <w:p>
      <w:pPr>
        <w:pStyle w:val="Heading2"/>
      </w:pPr>
      <w:r>
        <w:t>Erwägungen</w:t>
      </w:r>
    </w:p>
    <w:p>
      <w:r>
        <w:rPr>
          <w:b/>
        </w:rPr>
        <w:t>E. 1</w:t>
      </w:r>
    </w:p>
    <w:p>
      <w:r>
        <w:t>Per l’art. 9 cpv. 2 LPR l’Autorità cantonale di vigilanza può determinarsi sul merito del ricorso già in sede di decisione sull’effetto sospensivo, atteso che nel caso di reiezione del gravame non può darsi pregiudizio alcuno a carico di chi non è stato sentito (cfr. Flavio Cometta , Commentario alla LPR, Lugano 1998, n. 2.2.2. ad art. 9). Nel caso di specie il ricorso è stato trasmesso a questa Camera il 29 novembre 2001 per la decisione sull’effetto sospensivo. Essendo la documentazione prodotta da __________ sufficiente per determinarsi sul merito del ricorso e non essendo necessari ulteriori accertamenti fattuali, si prescinde dall’istruttoria.</w:t>
      </w:r>
    </w:p>
    <w:p>
      <w:r>
        <w:rPr>
          <w:b/>
        </w:rPr>
        <w:t>E. 2</w:t>
      </w:r>
    </w:p>
    <w:p>
      <w:r>
        <w:t>Nel procedere al sequestro o al pignoramento del reddito le autorità di esecuzione sono tenute ad accertare d’ufficio le circostanze determinanti al momento dell’esecuzione del sequestro o del pignoramento, ossia il reddito del debitore e il fabbisogno suo o della sua famiglia ( DTF 112 III 21; 108 III 12; 106 III 13), ritenuto che delle successive modifiche della situazione potrà essere tenuto conto soltanto mediante riesame del pignoramento ( DTF 108 III 13).</w:t>
      </w:r>
    </w:p>
    <w:p>
      <w:r>
        <w:rPr>
          <w:b/>
        </w:rPr>
        <w:t>E. 3</w:t>
      </w:r>
    </w:p>
    <w:p>
      <w:r>
        <w:t>La Tabella dei minimi di esistenza agli effetti del diritto esecutivo prevede un importo base mensile per debitore monoparentale con obblighi di mantenimento, comprensivo delle spese di sostentamento, abbigliamento, biancheria, igiene, cultura, salute e oneri domestici di fr. 1'250.--. Tuttavia in una recente sentenza dell’Autorità di vigilanza di Basilea – Città è stato stabilito che per un debitore frontaliero si giustifica una riduzione del 10% dell’importo base mensile (BlSchK 2000, p.63). Nel caso di specie __________ pur esercitando la propria attività lavorativa in Svizzera vive in Italia, segnatamente a __________. Pertanto quale importo base mensile l’UEF di Locarnoo avrebbe dovuto computare l’importo di fr. 1'125.-- (= fr. 1'250.--./. fr. 125.--), giustificandosi anche per l’Italia una riduzione del 10% __________. Tale riduzione deve inoltre essere effettuata anche per l’importo riconosciuto quale supplemento per figli minorenni (cfr. Tabella dei minimi di esistenza agli effetti del diritto esecutivo, punto I n.4 ). Di conseguenza avendo il debitore dichiarato di avere, oltre alle figlia nata dal precedente matrimonio, una figlia nata nel 1997, l’importo  di fr. 250.-- deve essere decurtato del 10%, riducendosi pertanto a fr. 225.-- mensili (cfr. verbale interno per le operazioni di pignoramento del 9 novembre 2001).</w:t>
      </w:r>
    </w:p>
    <w:p>
      <w:r>
        <w:rPr>
          <w:b/>
        </w:rPr>
        <w:t>E. 4</w:t>
      </w:r>
    </w:p>
    <w:p>
      <w:r>
        <w:t>Il debitore ha dichiarato di convivere con __________, casalinga, dalla quale ha avuto una figlia. In DTF 109 III 101 il Tribunale federale ha considerato la partecipazione della concubina alla metà delle spese comuni quale proporzione ragionevole. Infatti non sarebbe ammissibile permettere ai creditori dell’escusso di esigere dalla concubina che essa sopporti le spese comuni per un importo superiore alla metà. Ciò significherebbe in effetti autorizzarli a tacitarsi con un patrimonio che non è quello del debitore e verso il quale quest’ultimo non può far valere nessun diritto al mantenimento. Di conseguenza il debitore che vive in concubinato viene considerato come persona singola che vive sola. La concubina è tenuta a partecipare alle spese comuni anche se non esercita alcuna attività lucrativa (cfr. Georges Vonder Mühll , Basler Kommentar zum SchKG, Vol. I, Basilea, Ginevra, Monaco 1998, n. 24 e 26 ad art.93 LEF). Diverso è il caso in cui i conviventi hanno un figlio in comune, in quanto per consolidato principio dottrinale e giurisprudenziale il debitore che vive in comunione famigliare analoga a quella matrimoniale e da cui sono nati figli viene equiparato, ai fini della determinazione del suo minimo vitale, al debitore coniugato (cfr. DTF 106 III 17 cons. 3d; Fritzsche/Walder , Schuldbetreibung und Konkurs,vol.I, Zurigo 1984, § 24 n. 83). Di conseguenza nel calcolo del minimo vitale __________ deve essere applicato l’importo base per coniugi pari a fr. 1'550.--, decurtato del 10%, pari a fr. 1'395, vivendo il debitore in Italia.</w:t>
      </w:r>
    </w:p>
    <w:p>
      <w:r>
        <w:rPr>
          <w:b/>
        </w:rPr>
        <w:t>E. 5</w:t>
      </w:r>
    </w:p>
    <w:p>
      <w:r>
        <w:t>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 DTF 104 III 38-41, 87 III 102 e 57 III 207; CEF</w:t>
      </w:r>
    </w:p>
    <w:p>
      <w:r>
        <w:rPr>
          <w:b/>
        </w:rPr>
        <w:t>E. 8</w:t>
      </w:r>
    </w:p>
    <w:p>
      <w:r>
        <w:t>Il debitore sostiene inoltre che nel calcolo del minimo di esistenza andrebbe considerato l’importo di fr. 960.40 corrispondente alle rata mensile del rimborso del prestito contratto con il __________ per l’acquisto del mobilio e degli utensili della propria economia domestica. Perché si diano privilegi in diritto di determinati creditori occorre un’espressa norma di legge in tal senso. La giurisprudenza del Tribunale federale ha attenuato il rigore di questo principio stabilendo che determinati creditori sono privilegiati di fatto nel senso che, in caso di pignoramento di salario e di redditi, il debitore è autorizzato ad eseguire interamente le proprie obbligazioni nei loro confronti: è questo il caso in particolare per il venditore di generi alimentari, per il fornitore di beni indispensabili alla sopravvivenza o all’esercizio del lavoro del debitore e per il locatore di locali indispensabili per l’esercizio dell’attività lucrativa dell’escusso ( DTF 112 III 18). Siffatto indirizzo giurisprudenziale concretizza l’intento del legislatore di lasciare all’escusso e alla sua famiglia quanto è assolutamente indispensabile ex art. 92 e 93 LEF per soddisfare i bisogni più elementari. E’ di tutta evidenza che la deduzione prospettata dal ricorrente per il pagamento dei debito contratto non può entrare in linea di conto per il calcolo del minimo vitale: alla luce dei principi giurisprudenziali richiamati, nulla giustifica il privilegio che il debitore pretende sia concesso al __________. Abbondanzialmente si rileva altresì che non vi sarebbe alcuna garanzia che  l’importo di cui si chiede la deduzione venga effettivamente versato al creditore.</w:t>
      </w:r>
    </w:p>
    <w:p>
      <w:r>
        <w:rPr>
          <w:b/>
        </w:rPr>
        <w:t>E. 9</w:t>
      </w:r>
    </w:p>
    <w:p>
      <w:r>
        <w:t>Sulla base di quanto esposto precedentemente il calcolo del minimo di esistenza si presenta come segue: Salario percepito                                                       fr.     3'760.-- Minimo di esistenza importo base                                                              fr.     1'395.-- figli minorenni                                                             fr.        225.-- alimenti                                                                        fr.      383.70 locazione fr.        600.-- trasferte e pasti                                                          fr.        680.-- spese pul. vestiti                                                        fr.        100.-- Totale                                                                          fr.   3’383.70 eccedenza pignorabile                                              fr.      376.30</w:t>
      </w:r>
    </w:p>
    <w:p>
      <w:r>
        <w:rPr>
          <w:b/>
        </w:rPr>
        <w:t>E. 10</w:t>
      </w:r>
    </w:p>
    <w:p>
      <w:r>
        <w:t>Ne consegue il parziale accoglimento del gravame. Sulle spese e sulle ripetibili, protestate dal ricorrente, occorre ricordare a futura memoria che - benché la gratuità della procedura sia contraria al sistema di diritto amministrativo in cui si muove il ricorso secondo l'art. 17 LEF ( Jean-François Poudret/Suzette Sandoz - Monod, Commentaire de la loi fédérale d'organisation judiciaire, vol. II, Berna 1990, n.2.10 all'art. 81, p.804) - siffatto principio è stato codificato per espressa volontà del legislatore (art. 20a cpv.1 primo periodo LEF e 61 cpv. 2 lett. a OTLEF; DTF 125 III 383 cons.2a) Per lo stesso motivo non si assegnano indennità (art. 62 cpv. 2 OLEF). Richiamati gli art. 17 e 93 LEF pronuncia: 1. Il ricorso 23 novembre 2001 __________, è parzialmente accolto. 2. Di conseguenza il minimo di esistenza __________ e determinato in fr. 3383.70 in luogo di fr. 3'060.--. 3. Non si prelevano spese, né si assegnano indennità. 4. Contro questa decisione è dato ricorso entro dieci giorni alla Camera delle esecuzioni e dei fallimenti del Tribunale federale a Losanna, per il tramite della scrivente Camera di esecuzione e fallimenti del Tribunale d’appello, in conformità dell’art. 19 LEF. 5. Intimazione a:     - __________ Comunicazione all’UEF di Locarno.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