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15.2001.00210 vom 18. Juni 2001</w:t>
      </w:r>
    </w:p>
    <w:p>
      <w:r>
        <w:t>TI Tribunale d'appello, 2001-06-18, IT</w:t>
      </w:r>
    </w:p>
    <w:p>
      <w:r>
        <w:rPr>
          <w:b/>
        </w:rPr>
        <w:t xml:space="preserve">Quelle: </w:t>
      </w:r>
      <w:r>
        <w:t>https://mcp.opencaselaw.ch/entscheid/ti_gerichte_15.2001.00210</w:t>
      </w:r>
    </w:p>
    <w:p>
      <w:r>
        <w:t>FR: TI_GERICHTE 15.2001.00210 du 18 juin 2001</w:t>
      </w:r>
    </w:p>
    <w:p>
      <w:r>
        <w:t>IT: TI_GERICHTE 15.2001.00210 del 18 giugno 2001</w:t>
      </w:r>
    </w:p>
    <w:p>
      <w:pPr>
        <w:pStyle w:val="Heading2"/>
      </w:pPr>
      <w:r>
        <w:t>Regeste</w:t>
      </w:r>
    </w:p>
    <w:p>
      <w:r>
        <w:t>Sentenza o decisione senza scheda</w:t>
      </w:r>
    </w:p>
    <w:p>
      <w:pPr>
        <w:pStyle w:val="Heading2"/>
      </w:pPr>
      <w:r>
        <w:t>Erwägungen</w:t>
      </w:r>
    </w:p>
    <w:p>
      <w:r>
        <w:rPr>
          <w:b/>
        </w:rPr>
        <w:t>E. 1</w:t>
      </w:r>
    </w:p>
    <w:p>
      <w:r>
        <w:t>Non è contestato dalle parti che il riparto della somma pignorata presuppone la sua conversione in franchi svizzeri – decisione questa (cfr. CEF [20 marzo 2001] 15.2000.185, cons. 1.1) peraltro confermata dal Tribunale federale – né che, dopo la reiezione del ricorso di __________, tale realizzazione debba avvenire indilatamente (cfr. art. 144 cpv. 1 LEF).</w:t>
      </w:r>
    </w:p>
    <w:p>
      <w:r>
        <w:rPr>
          <w:b/>
        </w:rPr>
        <w:t>E. 2</w:t>
      </w:r>
    </w:p>
    <w:p>
      <w:r>
        <w:t>.   La decisione impugnata, anche se appare giustificata a chi poteva pensare in buona fede che fosse nell’interesse di tutte le parti procedere alla conversione nei migliori termini possibili per evitare perdite di cambio, non può essere confermata in questa sede e va pertanto annullata. Infatti, in presenza di disaccordi tra le parti, un termine di qualche ora per prendere posizione si rivela a posteriori troppo breve. Sembra invece adeguata la fissazione di un termine di 10 giorni, termine ordinario in materia LEF e che le parti sono sempre riuscite ad osservare per inoltrare i numerosi ricorsi giunti nella causa in esame sia a questa Camera che al Tribunale federale.</w:t>
      </w:r>
    </w:p>
    <w:p>
      <w:r>
        <w:rPr>
          <w:b/>
        </w:rPr>
        <w:t>E. 3</w:t>
      </w:r>
    </w:p>
    <w:p>
      <w:r>
        <w:t>Visto il carattere estremamente conflittuale della causa in esame, occorre dare le seguenti indicazioni all’UEF di Bellinzona in punto alla conversione in franchi svizzeri dell’importo pignorato.</w:t>
      </w:r>
    </w:p>
    <w:p>
      <w:r>
        <w:rPr>
          <w:b/>
        </w:rPr>
        <w:t>E. 3.1</w:t>
      </w:r>
    </w:p>
    <w:p>
      <w:r>
        <w:t>Il 4 luglio 2001 alle ore 14.00, l’UEF di Bellinzona ordinerà alla __________, quale stabilimento di deposito ex art. 29 LALEF, la conversione in franchi svizzeri della somma pignorata, a meno che le tre parti (__________,e __________) producano entro le ore 15.00 del 3 luglio 2001 una dichiarazione scritta comune, sottoscritta da ogni parte, che designi un altro istituto bancario presso il quale procedere al cambio; in quest’ultimo caso, la conversione avrà comunque luogo il 4 luglio 2001 alle ore 14.00 presso la banca scelta dalle parti.</w:t>
      </w:r>
    </w:p>
    <w:p>
      <w:r>
        <w:rPr>
          <w:b/>
        </w:rPr>
        <w:t>E. 3.2</w:t>
      </w:r>
    </w:p>
    <w:p>
      <w:r>
        <w:t>Sul modo di allestire la graduatoria e lo stato di riparto, si rinvia ai considerandi 3.2 e seguenti della sentenza 20 marzo 2001 (inc. 15.2000.185) di questa Camera.</w:t>
      </w:r>
    </w:p>
    <w:p>
      <w:r>
        <w:rPr>
          <w:b/>
        </w:rPr>
        <w:t>E. 4</w:t>
      </w:r>
    </w:p>
    <w:p>
      <w:r>
        <w:t>Sulle tasse occorre ricordare che – benché la gratuità della procedura sia contraria al sistema di diritto amministrativo in cui si muove il ricorso secondo l’art. 17 LEF ( Jean-François Poudret / 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9, 17, 67, 116, 144 LEF, nonché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