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15.2000.92 vom 28. August 2000</w:t>
      </w:r>
    </w:p>
    <w:p>
      <w:r>
        <w:t>TI Tribunale d'appello, 2000-08-28, IT</w:t>
      </w:r>
    </w:p>
    <w:p>
      <w:r>
        <w:rPr>
          <w:b/>
        </w:rPr>
        <w:t xml:space="preserve">Quelle: </w:t>
      </w:r>
      <w:r>
        <w:t>https://mcp.opencaselaw.ch/entscheid/ti_gerichte_15.2000.92</w:t>
      </w:r>
    </w:p>
    <w:p>
      <w:r>
        <w:t>FR: TI_GERICHTE 15.2000.92 du 28 août 2000</w:t>
      </w:r>
    </w:p>
    <w:p>
      <w:r>
        <w:t>IT: TI_GERICHTE 15.2000.92 del 28 agosto 2000</w:t>
      </w:r>
    </w:p>
    <w:p>
      <w:pPr>
        <w:pStyle w:val="Heading2"/>
      </w:pPr>
      <w:r>
        <w:t>Regeste</w:t>
      </w:r>
    </w:p>
    <w:p>
      <w:r>
        <w:t>Sentenza o decisione senza scheda</w:t>
      </w:r>
    </w:p>
    <w:p>
      <w:pPr>
        <w:pStyle w:val="Heading2"/>
      </w:pPr>
      <w:r>
        <w:t>Erwägungen</w:t>
      </w:r>
    </w:p>
    <w:p>
      <w:r>
        <w:rPr>
          <w:b/>
        </w:rPr>
        <w:t>E. 2</w:t>
      </w:r>
    </w:p>
    <w:p>
      <w:r>
        <w:t>Secondo la giurisprudenza del Tribunale federale, quanto necessita al sostentamento delle persone a carico del debitore è da includere nel calcolo del minimo di esistenza solo se il debitore paga effettivamente tale importo (DTF 121 III 20; 120 III 16). Orbene, nel caso di specie oltre a non esservi alcun elemento probatorio che dimostri l’effettivo pagamento di fr. 1’500.-- mensili per il mantenimento della moglie e del figlio, non sussiste alcun obbligo legale per l’escusso di versare tale importo, essendo i coniugi separati solo di fatto. La convenzione sottoscritta dai coniugi __________ il 14 luglio 2000 è suscettibile di costituire un artifizio volto a diminuire l’eccedenza pignorabile. Pertanto non esiste alcuna possibilità di accordare ulteriori riduzioni per il mantenimento del figlio oltre l’importo di fr. 300.-- già riconosciuto dall’UE di Lugano, conformemente al punto 1.21 della Tabella dei minimi di esistenza agli effetti del diritto esecutivo edita da questa Camera. Eventuali modifiche degli obblighi alimentari del debitore derivanti da una decisione delle competenti autorità giudiziarie, potranno, se del caso, essere oggetto di revisione del pignoramento.</w:t>
      </w:r>
    </w:p>
    <w:p>
      <w:r>
        <w:rPr>
          <w:b/>
        </w:rPr>
        <w:t>E. 3</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Nel caso di specie, non essendo i coniugi __________ legalmente separati si applicano le modalità di calcolo del minimo vitale testé descritte. Di conseguenza, avendo l’UE di Lugano omesso di accertare il reddito della moglie dell’escusso s’impone la retrocessione degli atti all’Ufficio affinché proceda a tale incombenza, determinando l’eventuale eccedenza pignorabile a carico di __________ sulla base di tutti gli elementi di reddito della famiglia. L'UE di Lugano dovrà previamente accertare se nel frattempo è stata promossa un'azione di separazione o di divorzio, ritenuto che in siffatta evenienza dovrà determinarsi di conseguenza.</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