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15.2000.85 vom 7. September 2000</w:t>
      </w:r>
    </w:p>
    <w:p>
      <w:r>
        <w:t>TI Tribunale d'appello, 2000-09-07, IT</w:t>
      </w:r>
    </w:p>
    <w:p>
      <w:r>
        <w:rPr>
          <w:b/>
        </w:rPr>
        <w:t xml:space="preserve">Quelle: </w:t>
      </w:r>
      <w:r>
        <w:t>https://mcp.opencaselaw.ch/entscheid/ti_gerichte_15.2000.85</w:t>
      </w:r>
    </w:p>
    <w:p>
      <w:r>
        <w:t>FR: TI_GERICHTE 15.2000.85 du 7 septembre 2000</w:t>
      </w:r>
    </w:p>
    <w:p>
      <w:r>
        <w:t>IT: TI_GERICHTE 15.2000.85 del 7 settembre 2000</w:t>
      </w:r>
    </w:p>
    <w:p>
      <w:pPr>
        <w:pStyle w:val="Heading2"/>
      </w:pPr>
      <w:r>
        <w:t>Regeste</w:t>
      </w:r>
    </w:p>
    <w:p>
      <w:r>
        <w:t>Sentenza o decisione senza scheda</w:t>
      </w:r>
    </w:p>
    <w:p>
      <w:pPr>
        <w:pStyle w:val="Heading2"/>
      </w:pPr>
      <w:r>
        <w:t>Erwägungen</w:t>
      </w:r>
    </w:p>
    <w:p>
      <w:r>
        <w:rPr>
          <w:b/>
        </w:rPr>
        <w:t>E. 1</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ritenuto che delle successive modifiche della situazione potrà essere tenuto conto soltanto mediante riesame del pignoramento ( DTF 108 III 13).</w:t>
      </w:r>
    </w:p>
    <w:p>
      <w:r>
        <w:rPr>
          <w:b/>
        </w:rPr>
        <w:t>E. 2</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 La decurtazione del quantum può però, di regola, essere operante solo nel rispetto dei termini contrattuali ( DTF 119 III 73; Amonn/Gasser , Grundriss des Schuldbetreibungs-und Konkursrechts, Berna 1997, § 23 n. 64 p. 178). Nel caso in esame l’UEF di Bellinzona ha riconosciuto all’escussa, a titolo di canone locatizio, l’importo mensile di fr. 600.--, stabilito da questa Camera con decisione 10 agosto 1999, con la quale si invitava la ricorrente a ridurre le spese di locazione. Dando seguito a tale invito l’escussa ha effettivamente ridotto le spese di locazione da fr. 1'120.-- a fr. 830.--, spese di riscaldamento comprese. Con il ricorso che qui ci occupa la ricorrente postula il riconoscimento del canone di locazione effettivo in luogo dell’importo di fr.  600.-- riconosciuto dall’UEF di Bellinzona, evidenziando l’impossibilità di reperire attualmente a Bellinzona un alloggio sostitutivo ad un prezzo inferiore agli 800.-- franchi oltre le spese. Orbene, l’escussa ha dato prova di impegno nel ridurre le spese di locazione, lasciando un appartamento di fr. 1'120.-- per uno di fr. 830.--, spese comprese. Siffatto comportamento merita di essere apprezzato, tanto più che nel frattempo i canoni locatizi hanno subito un incremento riconducibile alla somma di almeno due fattori: la diminuzione degli appartamenti sfitti e l’aumento del tasso ipotecario. Di conseguenza viene riconosciuto a titolo di canone locatizio l’importo mensile di fr. 830.--.</w:t>
      </w:r>
    </w:p>
    <w:p>
      <w:r>
        <w:rPr>
          <w:b/>
        </w:rPr>
        <w:t>E. 3</w:t>
      </w:r>
    </w:p>
    <w:p>
      <w:r>
        <w:t>Ne consegue l’accoglimento del gravame. Sulle spese occorre ricordare a futura memoria che - benché la gratuità della procedura sia contraria al sistema di diritto amministrativo in cui si muove il ricorso secondo l'art. 17 LEF ( Jean - François Poudret/Suzette Sandoz - Monod , Commentaire de la loi fédérale d'organisation judiciaire, vol. II, Berna 1990, n.2.10 all'art. 81, p.804) - siffatto principio è stato codificato per espressa volontà del legislatore (art. 20a cpv.1 primo periodo LEF e 61 cpv. 2 lett. a OTLEF; DTF 125 III 383 cons.2a) Per lo stesso motivo non si assegnano indennità (art. 62 cpv. 2 OLEF). Richiamati gli art. 17 e 93 LEF, 19 LPR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