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15.2000.84 vom 26. Juli 2000</w:t>
      </w:r>
    </w:p>
    <w:p>
      <w:r>
        <w:t>TI Tribunale d'appello, 2000-07-26, IT</w:t>
      </w:r>
    </w:p>
    <w:p>
      <w:r>
        <w:rPr>
          <w:b/>
        </w:rPr>
        <w:t xml:space="preserve">Quelle: </w:t>
      </w:r>
      <w:r>
        <w:t>https://mcp.opencaselaw.ch/entscheid/ti_gerichte_15.2000.84</w:t>
      </w:r>
    </w:p>
    <w:p>
      <w:r>
        <w:t>FR: TI_GERICHTE 15.2000.84 du 26 juillet 2000</w:t>
      </w:r>
    </w:p>
    <w:p>
      <w:r>
        <w:t>IT: TI_GERICHTE 15.2000.84 del 26 luglio 2000</w:t>
      </w:r>
    </w:p>
    <w:p>
      <w:pPr>
        <w:pStyle w:val="Heading2"/>
      </w:pPr>
      <w:r>
        <w:t>Regeste</w:t>
      </w:r>
    </w:p>
    <w:p>
      <w:r>
        <w:t>Sentenza o decisione senza scheda</w:t>
      </w:r>
    </w:p>
    <w:p>
      <w:pPr>
        <w:pStyle w:val="Heading2"/>
      </w:pPr>
      <w:r>
        <w:t>Erwägungen</w:t>
      </w:r>
    </w:p>
    <w:p>
      <w:r>
        <w:rPr>
          <w:b/>
        </w:rPr>
        <w:t>E. 2</w:t>
      </w:r>
    </w:p>
    <w:p>
      <w:r>
        <w:t>Il ricorrente chiede che venga tenuto conto dei debiti contratti a titolo di imposte comunali e cantonali.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Siffatto indirizzo giurisprudenziale concretizza l’intento del legislatore di lasciare all’escusso e alla sua famiglia quanto è assolutamente indispensabile ex art. 92 e 93 LEF per soddisfare i bisogni più elementari. E’ di tutta evidenza che le deduzioni prospettate dal ricorrente per il pagamento dei debiti contratti non possono entrare in linea di conto per il calcolo del minimo vitale: alla luce dei principi giurisprudenziali richiamati, nulla giustifica il privilegio che il debitore pretende sia concesso al Comune di __________ e al Cantone. Abbondanzialmente si rileva altresì che non vi sarebbe alcuna garanzia che gli importi di cui si chiede la deduzione vengano effettivamente versati ai creditori.</w:t>
      </w:r>
    </w:p>
    <w:p>
      <w:r>
        <w:rPr>
          <w:b/>
        </w:rPr>
        <w:t>E. 3</w:t>
      </w:r>
    </w:p>
    <w:p>
      <w:r>
        <w:t>Secondo il punto 1.2 della Tabella dei minimi di esistenza agli effetti del diritto esecutivo (in seguito: Tabella) l’importo base per coniugi ammonta fr. 1’370.-- al mese. Il ricorrente pretende il riconoscimento di un importo mensile per spese telefoniche. Tale richiesta non può essere accolta essendo tali spese già comprese nell’importo base mensile di fr. 1’370.--. Per contro le spese di abbonamento televisivo sono già coperte dall’importo di fr. 190.-- riconosciuto dall’UE di Lugano alla voce diversi.</w:t>
      </w:r>
    </w:p>
    <w:p>
      <w:r>
        <w:rPr>
          <w:b/>
        </w:rPr>
        <w:t>E. 4</w:t>
      </w:r>
    </w:p>
    <w:p>
      <w:r>
        <w:t>Per l’art. 21 cpv. 4 LPR  la sentenza che ammette il ricorso può riformare il provvedimento impugnato o annullarlo con rinvio all’organo di esecuzione e fallimento per un nuovo giudizio. Se il provvedimento impugnato contiene accertamenti di fatto sufficienti, l’Autorità di vigilanza riforma il pregresso giudizio; in caso contrario la vertenza è rinviata all’organo di esecuzione affinché completi gli accertamenti ed emani un nuovo provvedimento. La decisione sulla specie d’effetto rientra nel potere discrezionale dell’Autorità di vigilanza ( Flavio Cometta , Commentario alla LPR, Lugano 1998, n. 2 ad art. 21, p.260).Orbene, nel caso di specie l’UE di Lugano ha allestito il calcolo dell’eccedenza pignorabile unicamente sulla base delle dichiarazioni rese dal debitore senza il sostegno di alcun documento giustificativo. In particolare, dal certificato di salario prodotto dall’escusso si evince che il reddito indicato nel verbale di pignoramento non corrisponde a quello effettivamente percepito dal debitore per giugno 2000 risulta infatti che il ricorrente oltre al salario mensile di fr. 3823.-- percepisce fr. 2256.-- a titolo di "indennità di residenza". Inoltre non vi è alcun documento che attesti il reddito del coniuge. Di conseguenza, viste le peculiarità del caso in esame, in particolare la carenza istruttoria, si giustifica la retrocessione degli atti all’UE di Lugano affinché proceda ai necessari accertamenti atti a determinare l’eventuale eccedenza pignorabile a carico dell’escusso.</w:t>
      </w:r>
    </w:p>
    <w:p>
      <w:r>
        <w:rPr>
          <w:b/>
        </w:rPr>
        <w:t>E. 5</w:t>
      </w:r>
    </w:p>
    <w:p>
      <w:r>
        <w:t>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