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15.2000.77 vom 8. August 2000</w:t>
      </w:r>
    </w:p>
    <w:p>
      <w:r>
        <w:t>TI Tribunale d'appello, 2000-08-08, IT</w:t>
      </w:r>
    </w:p>
    <w:p>
      <w:r>
        <w:rPr>
          <w:b/>
        </w:rPr>
        <w:t xml:space="preserve">Quelle: </w:t>
      </w:r>
      <w:r>
        <w:t>https://mcp.opencaselaw.ch/entscheid/ti_gerichte_15.2000.77</w:t>
      </w:r>
    </w:p>
    <w:p>
      <w:r>
        <w:t>FR: TI_GERICHTE 15.2000.77 du 8 août 2000</w:t>
      </w:r>
    </w:p>
    <w:p>
      <w:r>
        <w:t>IT: TI_GERICHTE 15.2000.77 del 8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il ricorrente si aggrava contro la decisione d’inventariare i diritti di abitazione (recte: i diritti patrimoniali sottesi al diritto d’abitazione, corrispondente almeno al minor valore che il bene gravato ha per effetto del diritto d’abitazione) e di ricupera, il gravame si rivela irricevibile, in quanto la questione è già stata decisa con sentenza 20 gennaio 2000 di questa Camera, cresciuta in giudicato.</w:t>
      </w:r>
    </w:p>
    <w:p>
      <w:r>
        <w:rPr>
          <w:b/>
        </w:rPr>
        <w:t>E. 2</w:t>
      </w:r>
    </w:p>
    <w:p>
      <w:r>
        <w:t>RFF anche alla fattispecie in esame. Di conseguenza __________ dovrà procedere ad una nuova stima dei diritti inventariati con l’ausilio di un perito, previo versamento dell’anticipazione delle spese da parte di __________. Si ricorda tuttavia che l’assenza della stima peritale, analogamente a quanto avviene nella procedura di pignoramento non inficia l’inventario che resta valido ed esplica tutti i suoi effetti nella procedura fallimentare in oggetto.</w:t>
      </w:r>
    </w:p>
    <w:p>
      <w:r>
        <w:rPr>
          <w:b/>
        </w:rPr>
        <w:t>E. 3</w:t>
      </w:r>
    </w:p>
    <w:p>
      <w:r>
        <w:t>Non si prelevano spese, né si assegnano indennità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     -    __________ Comunicazione a UEF Locarno.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