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15.2000.38 vom 28. März 2000</w:t>
      </w:r>
    </w:p>
    <w:p>
      <w:r>
        <w:t>TI Tribunale d'appello, 2000-03-28, IT</w:t>
      </w:r>
    </w:p>
    <w:p>
      <w:r>
        <w:rPr>
          <w:b/>
        </w:rPr>
        <w:t xml:space="preserve">Quelle: </w:t>
      </w:r>
      <w:r>
        <w:t>https://mcp.opencaselaw.ch/entscheid/ti_gerichte_15.2000.38</w:t>
      </w:r>
    </w:p>
    <w:p>
      <w:r>
        <w:t>FR: TI_GERICHTE 15.2000.38 du 28 mars 2000</w:t>
      </w:r>
    </w:p>
    <w:p>
      <w:r>
        <w:t>IT: TI_GERICHTE 15.2000.38 del 28 marzo 2000</w:t>
      </w:r>
    </w:p>
    <w:p>
      <w:pPr>
        <w:pStyle w:val="Heading2"/>
      </w:pPr>
      <w:r>
        <w:t>Regeste</w:t>
      </w:r>
    </w:p>
    <w:p>
      <w:r>
        <w:t>Sentenza o decisione senza scheda</w:t>
      </w:r>
    </w:p>
    <w:p>
      <w:pPr>
        <w:pStyle w:val="Heading2"/>
      </w:pPr>
      <w:r>
        <w:t>Erwägungen</w:t>
      </w:r>
    </w:p>
    <w:p>
      <w:r>
        <w:rPr>
          <w:b/>
        </w:rPr>
        <w:t>E. 2</w:t>
      </w:r>
    </w:p>
    <w:p>
      <w:r>
        <w:t>Giusta l’art. 22 cpv. 1 LEF sono nulle le decisioni che violano prescrizioni emanate nell’interesse pubblico o nell’interesse di persone che non sono parte nel procedimento. L’autorità di vigilanza constata d’ufficio la nullità anche quando la decisione non sia stata impugnata. Vi è nullità, oltre ai casi espressamente previsti dalla legge, solamente quando il sistema dell’annullabilità non garantisce, nel caso concreto, sufficiente protezione (Flavio Cometta, Basler Kommentar zum SchKG I, Basilea/Ginevra/Monaco 1998, n. 9 ad art. 22 LEF).</w:t>
      </w:r>
    </w:p>
    <w:p>
      <w:r>
        <w:rPr>
          <w:b/>
        </w:rPr>
        <w:t>E. 3</w:t>
      </w:r>
    </w:p>
    <w:p>
      <w:r>
        <w:t>Nel caso di specie il ricorrente invoca la nullità di tutti gli atti compiuti dall’UE di Lugano nell’esecuzione n. __________, essendo stati pignorati e messi all’incanto diritti derivanti dal suo diritto di prelazione legale e il diritto di prelazione legale stesso. L’escusso sostiene infatti che il diritto di prelazione legale non essendo né trasmissibile né cedibile, sarebbe impignorabile. Orbene, prescindendo dalla pignorabilità del diritto di prelazione le argomentazioni del ricorrente non costituiscono un motivo di nullità ex art. 22 LEF poiché riferite a questione che interessa solo chi è parte nella procedura che la portato al pignoramento.</w:t>
      </w:r>
    </w:p>
    <w:p>
      <w:r>
        <w:rPr>
          <w:b/>
        </w:rPr>
        <w:t>E. 4</w:t>
      </w:r>
    </w:p>
    <w:p>
      <w:r>
        <w:t>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