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15.2000.22 vom 16. Mai 2000</w:t>
      </w:r>
    </w:p>
    <w:p>
      <w:r>
        <w:t>TI Tribunale d'appello, 2000-05-16, IT</w:t>
      </w:r>
    </w:p>
    <w:p>
      <w:r>
        <w:rPr>
          <w:b/>
        </w:rPr>
        <w:t xml:space="preserve">Quelle: </w:t>
      </w:r>
      <w:r>
        <w:t>https://mcp.opencaselaw.ch/entscheid/ti_gerichte_15.2000.22</w:t>
      </w:r>
    </w:p>
    <w:p>
      <w:r>
        <w:t>FR: TI_GERICHTE 15.2000.22 du 16 mai 2000</w:t>
      </w:r>
    </w:p>
    <w:p>
      <w:r>
        <w:t>IT: TI_GERICHTE 15.2000.22 del 16 maggio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Secondo il punto 1.1 della Tabella dei minimi di esistenza agli effetti del diritto esecutivo (in seguito: Tabella) l’importo base per persona singola che vive sola ammonta fr. 1’025.-- al mese. Il ricorrente pretende che tale importo venga aumentato del 20% sulla base dell’art. 152 CC. Tale richiesta non può essere accolta, essendo la Tabella in oggetto l’unica fonte per la determinazione del reddito pignorabile ex art. 93 LEF.</w:t>
      </w:r>
    </w:p>
    <w:p>
      <w:r>
        <w:rPr>
          <w:b/>
        </w:rPr>
        <w:t>E. 3</w:t>
      </w:r>
    </w:p>
    <w:p>
      <w:r>
        <w:t>A titolo di premi della cassa malati  il ricorrente chiede che venga riconosciuto l'importo mensile di fr. 323.--. Orbene, dal certificato della cassa malati __________ prodotto dall'escusso si evince che l’importo di fr. 207.-- riconosciuto dall’UE di Lugano è da ritenere corretto essendo limitato alle prestazioni obbligatorie secondo la LAMal,  considerato che quale assicurazione malattia può essere riconosciuta unicamente l’assicurazione obbligatoria. __________ chiede che il calcolo del minimo di esistenza venga rivisto sulla base della decisione pretorile che verosimilmente stabilirà un contributo alimentare a favore della moglie. In effetti in data 10 maggio 2000 l’UE di Lugano ha fatto pervenire a questa Camera la decisione 8 maggio 2000 del Pretore di Lugano, sezione 6, nella causa che oppone l’escusso alla moglie __________ con la quale viene stabilito quanto segue: “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