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15.2000.207 vom 16. Januar 2001</w:t>
      </w:r>
    </w:p>
    <w:p>
      <w:r>
        <w:t>TI Tribunale d'appello, 2001-01-16, IT</w:t>
      </w:r>
    </w:p>
    <w:p>
      <w:r>
        <w:rPr>
          <w:b/>
        </w:rPr>
        <w:t xml:space="preserve">Quelle: </w:t>
      </w:r>
      <w:r>
        <w:t>https://mcp.opencaselaw.ch/entscheid/ti_gerichte_15.2000.207</w:t>
      </w:r>
    </w:p>
    <w:p>
      <w:r>
        <w:t>FR: TI_GERICHTE 15.2000.207 du 16 janvier 2001</w:t>
      </w:r>
    </w:p>
    <w:p>
      <w:r>
        <w:t>IT: TI_GERICHTE 15.2000.207 del 16 gennaio 2001</w:t>
      </w:r>
    </w:p>
    <w:p>
      <w:pPr>
        <w:pStyle w:val="Heading2"/>
      </w:pPr>
      <w:r>
        <w:t>Regeste</w:t>
      </w:r>
    </w:p>
    <w:p>
      <w:r>
        <w:t>Sentenza o decisione senza scheda</w:t>
      </w:r>
    </w:p>
    <w:p>
      <w:pPr>
        <w:pStyle w:val="Heading2"/>
      </w:pPr>
      <w:r>
        <w:t>Erwägungen</w:t>
      </w:r>
    </w:p>
    <w:p>
      <w:r>
        <w:rPr>
          <w:b/>
        </w:rPr>
        <w:t>E. 1</w:t>
      </w:r>
    </w:p>
    <w:p>
      <w:r>
        <w:t>Per ragioni formali vi è la possibilità di formulare ricorso all’Autorità di vigilanza contro la notifica della comminatoria di fallimento, ad es. quando (cfr. CEF 9 gennaio 1990 su reclamo A.R. cons.1; Carl Jaeger , Das Bundesgesetz betreffend Schuldbetreibung und Konkurs, vol. I, Zurigo 1911, n. 6 all’art. 160 LEF; Pierre-Robert Gilliéron , Poursuite pour dettes, faillite et concordat, Losanna 1993, p. 252):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w:t>
      </w:r>
    </w:p>
    <w:p>
      <w:r>
        <w:rPr>
          <w:b/>
        </w:rPr>
        <w:t>E. 2</w:t>
      </w:r>
    </w:p>
    <w:p>
      <w:r>
        <w:t>Per questioni di merito la via del ricorso è invece preclusa.</w:t>
      </w:r>
    </w:p>
    <w:p>
      <w:r>
        <w:rPr>
          <w:b/>
        </w:rPr>
        <w:t>E. 3</w:t>
      </w:r>
    </w:p>
    <w:p>
      <w:r>
        <w:t>L’__________ allega ritualmente una questione di forma, sostenendo di non essere soggetto all’esecuzione in via di fallimento perché l’esecuzione riguarda un debito privato che non ha nulla a che fare con la sua attività commerciale</w:t>
      </w:r>
    </w:p>
    <w:p>
      <w:r>
        <w:rPr>
          <w:b/>
        </w:rPr>
        <w:t>E. 4</w:t>
      </w:r>
    </w:p>
    <w:p>
      <w:r>
        <w:t>Il ricorrente era iscritto nel Registro di commercio, nel momento in cui è iniziata la procedura esecutiva in via ordinaria ed è poi proseguita in via di fallimento e ancora quando l’UEF di Locarno ha emesso il provvedimento impugnato, quale socio illimitatamente responsabile con firma individuale della Società in accomandita “__________” di __________.</w:t>
      </w:r>
    </w:p>
    <w:p>
      <w:r>
        <w:rPr>
          <w:b/>
        </w:rPr>
        <w:t>E. 5</w:t>
      </w:r>
    </w:p>
    <w:p>
      <w:r>
        <w:t>Per l’art. 39 cpv. 1 n. 3 LEF il ricorrente è quindi soggetto all’esecuzione in via di fallimento, che si prosegue, nel caso di specie, come esecuzione ordinaria di fallimento, irrilevante essendo la circostanza che il credito in esecuzione non riguarda l’attività della società in accomandita di cui __________ è socio illimitatamente responsabile.</w:t>
      </w:r>
    </w:p>
    <w:p>
      <w:r>
        <w:rPr>
          <w:b/>
        </w:rPr>
        <w:t>E. 6</w:t>
      </w:r>
    </w:p>
    <w:p>
      <w:r>
        <w:t>Ne consegue che l’UEF di Locarno nel provvedimento impugnato si è correttamente determinato. La comminatoria di fallimento è pertanto conforme ai prescritti di diritto esecutivo e il ricorso va di conseguenza respinto.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juidiciaire, vol. II, Berna 1990, n.2.10 all'art. 81, p. 804) - siffatto principio è stato codificato per espressa volontà del legislatore ( art. 20a cpv. 1 primo periodo LEF e 61 cpv. 2 lett. a OTLEF; DTF 125 III 383 cons. 2a) .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