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15.2000.194 vom 19. Dezember 2000</w:t>
      </w:r>
    </w:p>
    <w:p>
      <w:r>
        <w:t>TI Tribunale d'appello, 2000-12-19, IT</w:t>
      </w:r>
    </w:p>
    <w:p>
      <w:r>
        <w:rPr>
          <w:b/>
        </w:rPr>
        <w:t xml:space="preserve">Quelle: </w:t>
      </w:r>
      <w:r>
        <w:t>https://mcp.opencaselaw.ch/entscheid/ti_gerichte_15.2000.194</w:t>
      </w:r>
    </w:p>
    <w:p>
      <w:r>
        <w:t>FR: TI_GERICHTE 15.2000.194 du 19 décembre 2000</w:t>
      </w:r>
    </w:p>
    <w:p>
      <w:r>
        <w:t>IT: TI_GERICHTE 15.2000.194 del 19 dicembre 2000</w:t>
      </w:r>
    </w:p>
    <w:p>
      <w:pPr>
        <w:pStyle w:val="Heading2"/>
      </w:pPr>
      <w:r>
        <w:t>Regeste</w:t>
      </w:r>
    </w:p>
    <w:p>
      <w:r>
        <w:t>Sentenza o decisione senza scheda</w:t>
      </w:r>
    </w:p>
    <w:p>
      <w:pPr>
        <w:pStyle w:val="Heading2"/>
      </w:pPr>
      <w:r>
        <w:t>Erwägungen</w:t>
      </w:r>
    </w:p>
    <w:p>
      <w:r>
        <w:rPr>
          <w:b/>
        </w:rPr>
        <w:t>E. 1</w:t>
      </w:r>
    </w:p>
    <w:p>
      <w:r>
        <w:t>Giusta l’art. 9 cpv. 2 LPR l’Autorità cantonale di vigilanza può determinarsi sul merito del ricorso già in sede di decisione sull’effetto sospensivo, atteso che nel caso di reiezione del gravame non può darsi pregiudizio alcuno a carico di chi non è stato sentito (cfr. Flavio Cometta , Commentario alla LPR , Lugano 1998, n. 2.2.2 ad art. 9). Nel caso di specie il ricorso è stato trasmesso a questa Camera per decisione sull’effetto sospensivo; ritenuto che la questione non richiede ulteriori accertamenti fattuali, appare opportuno determinarsi sul merito del gravame già in questa sede.</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Georges Vonder Mühll , Basler Kommentar zum SchKG , Basilea/Ginevra/Monaco 1998, n. 17 ad art. 93), ritenuto che delle successive modifiche della situazione potrà essere tenuto conto soltanto mediante riesame del pignoramento ( DTF 108 III 13).</w:t>
      </w:r>
    </w:p>
    <w:p>
      <w:r>
        <w:rPr>
          <w:b/>
        </w:rPr>
        <w:t>E. 3</w:t>
      </w:r>
    </w:p>
    <w:p>
      <w:r>
        <w:t>Nell’esecuzione del pignoramento o del sequestro di salario l’organo di esecuzione forzata allestisce il verbale di pignoramento tenendo conto dei ricavi e delle spese effettivi mensili; la tredicesima, se percepita, fa parte del salario e va pure essa presa in considerazione nel calcolo di un’eccedenza pignorabile. Essa non può tuttavia venir staggita pro rata, ma va pignorata quale reddito futuro, valendo il suo pignoramento unicamente al momento del suo pagamento ( DTF 71 III 61; Georges Vonder Mühll , op. cit. , n. 4 ad art. 93).</w:t>
      </w:r>
    </w:p>
    <w:p>
      <w:r>
        <w:rPr>
          <w:b/>
        </w:rPr>
        <w:t>E. 3.1</w:t>
      </w:r>
    </w:p>
    <w:p>
      <w:r>
        <w:t>Per quanto riguarda dunque la richiesta della ricorrente di poter liberare la tredicesima dal pignoramento, essa va respinta, nella misura in cui tale importo non sia sufficiente a coprire tutti i crediti posti in esecuzione; pagati tutti quest’ultimi, un’eventuale eccedenza attiva a suo favore, sarebbe certamente versata alla ricorrente.</w:t>
      </w:r>
    </w:p>
    <w:p>
      <w:r>
        <w:rPr>
          <w:b/>
        </w:rPr>
        <w:t>E. 4</w:t>
      </w:r>
    </w:p>
    <w:p>
      <w:r>
        <w:t>Per quanto riguarda la richiesta di ridurre l’eccedenza pignorabile mensile sulla scorta delle fatture allegate al ricorso, occorre ricordare che perché si diano privilegi in diritto di determinati creditori occorre un’espressa norma di legge in tale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del venditore di generi alimentari, per il fornitore di beni indispensabili alla sopravvivenza o all’esercizio del lavoro del debitore e per il locatore di locali indispensabili per l’esercizio dell’attività lucrativa dell’escusso ( DTF 112 III 18). Siffatto indirizzo giurisprudenziale concretizza l’intento del legislatore di lasciare all’escusso e alla sua famiglia quanto è assolutamente indispensabile ex art. 92 e 92 LEF per soddisfare i bisogni più elemantari.</w:t>
      </w:r>
    </w:p>
    <w:p>
      <w:r>
        <w:rPr>
          <w:b/>
        </w:rPr>
        <w:t>E. 4.1</w:t>
      </w:r>
    </w:p>
    <w:p>
      <w:r>
        <w:t>Le spese di locazione sono state riconosciute dall’UEF di __________ in ragione di CHF 1'110.--, mentre la ricorrente sostiene – sulla scorta di un semplice cedolino di versamento postale non pagato – che esse ammonterebbero ora a CHF 1’145.--; tale aumento potrà – se del caso – essere riconosciuto in seguito dall’UEF a condizione che la ricorrente produca la documentazione a suffragio di tale aumento.</w:t>
      </w:r>
    </w:p>
    <w:p>
      <w:r>
        <w:rPr>
          <w:b/>
        </w:rPr>
        <w:t>E. 4.2</w:t>
      </w:r>
    </w:p>
    <w:p>
      <w:r>
        <w:t>La ricorrente chiede che le vengano riconosciuti CHF 173.—per spese di elettricità; tale importo tuttavia è già compreso nel minimo di esistenza fissato nel suo caso in CHF 1'025.—(cfr. § 1.1 della Tabella dei minimi di esistenza agli effetti del diritto esecutivo del 1° gennaio 1994 di questa Camera) e non può pertanto esserle riconosciuto.</w:t>
      </w:r>
    </w:p>
    <w:p>
      <w:r>
        <w:rPr>
          <w:b/>
        </w:rPr>
        <w:t>E. 4.3</w:t>
      </w:r>
    </w:p>
    <w:p>
      <w:r>
        <w:t>Le multe, probabilmente per infrazioni legate al posteggio dell’autoveicolo dichiarato impignorabile dall’UEF di __________, non possono essere tenute in considerazione poiché sono il risultato di un comportamento errato della ricorrente, che invece – durante tutta la durata del pignoramento di salario - è chiamata a dare prova di parsimonia e oculatezza.</w:t>
      </w:r>
    </w:p>
    <w:p>
      <w:r>
        <w:rPr>
          <w:b/>
        </w:rPr>
        <w:t>E. 4.4</w:t>
      </w:r>
    </w:p>
    <w:p>
      <w:r>
        <w:t>Le spese di alimentazione, di igiene della casa e personale, nonché di indumenti pretese dalla ricorrente sono già comprese nel minimo di esistenza fissato nel suo caso in CHF 1'025.--, e pertanto non possono venirle riconosciute.</w:t>
      </w:r>
    </w:p>
    <w:p>
      <w:r>
        <w:rPr>
          <w:b/>
        </w:rPr>
        <w:t>E. 4.5</w:t>
      </w:r>
    </w:p>
    <w:p>
      <w:r>
        <w:t>Le spese di riparazione dell’autovettura e di assicurazione responsabilità civile per veicoli sono di principio già contenute nell’importo forfetario al chilometro concesso dall’UEF; che nel caso in cui la ricorrente possa in futuro dimostrare l’insorgere di rilevanti spese connesse con l’uso dell’autoveicolo, essa potrà chiedere all’UEF di __________ un adeguamento dell’importo forfetario al chilometro, o il riconoscimento di pagamenti a favore del fornitore di tali prestazioni.</w:t>
      </w:r>
    </w:p>
    <w:p>
      <w:r>
        <w:rPr>
          <w:b/>
        </w:rPr>
        <w:t>E. 4.6</w:t>
      </w:r>
    </w:p>
    <w:p>
      <w:r>
        <w:t>La ricorrente presenta due fatture per spese telefoniche di ragguardevole consistenza (CHF 2'904.25 e 3'354.65) certamente non giustificate dalla sua professione para-medica, nonché fatture connesse con la ricezione di programmi televisivi e radiofonici; seppure non vi sia alcun diritto particolare da parte dell’escussa di vedersi riconoscere degli importi per tali titoli, occorre rilevare che l’UEF le ha riconosciuto un importo generico di CHF 100.— mensili, che può essere ritenuto sufficiente per tali costi.</w:t>
      </w:r>
    </w:p>
    <w:p>
      <w:r>
        <w:rPr>
          <w:b/>
        </w:rPr>
        <w:t>E. 4.7</w:t>
      </w:r>
    </w:p>
    <w:p>
      <w:r>
        <w:t>La ricorrente sostiene di dover far fronte a rilevanti spese mediche, producendo unicamente un cedolino di pagamento non usato per CHF 108.—a favore del dr. med. __________; l’escussa rileva tuttavia che l’ingente debito di cui sopra sarebbe quello verso la cassa malati, che risulta però creditrice procedente nell’ambito del pignoramento qui in esame (PE n. __________ dell’UEF di __________ fatto spiccare dalla Cassa Malati __________); di conseguenza, nella misura in cui questo creditore partecipi al pignoramento (fruttuoso) di salario, non è possibile avvantaggiarlo con ulteriori pagamenti da parte dell’escussa.</w:t>
      </w:r>
    </w:p>
    <w:p>
      <w:r>
        <w:rPr>
          <w:b/>
        </w:rPr>
        <w:t>E. 4.8</w:t>
      </w:r>
    </w:p>
    <w:p>
      <w:r>
        <w:t>Per quanto riguarda il preteso debito con terzi sconosciuti, ai quali la ricorrente verserebbe CHF 820.--, esso non può venire riconosciuto poiché non è noto né il nome di questi terzi né la ragione di questi pagamenti né se essi vengono effettivamente fatti.</w:t>
      </w:r>
    </w:p>
    <w:p>
      <w:r>
        <w:rPr>
          <w:b/>
        </w:rPr>
        <w:t>E. 4.9</w:t>
      </w:r>
    </w:p>
    <w:p>
      <w:r>
        <w:t>Di conseguenza anche la richiesta di ridurre l’eccedenza pignorabile va respinta.</w:t>
      </w:r>
    </w:p>
    <w:p>
      <w:r>
        <w:rPr>
          <w:b/>
        </w:rPr>
        <w:t>E. 5</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20a e 93 LEF, art. 61 e 62 OTLEF, art. 9 LPR, pronuncia: 1. Il ricorso 29 novembre 2000 di __________, è respinto. 2. Non si prelevano tasse,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Comunicazione all’UEF di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