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15.2000.161 vom 23. Oktober 2000</w:t>
      </w:r>
    </w:p>
    <w:p>
      <w:r>
        <w:t>TI Tribunale d'appello, 2000-10-23, IT</w:t>
      </w:r>
    </w:p>
    <w:p>
      <w:r>
        <w:rPr>
          <w:b/>
        </w:rPr>
        <w:t xml:space="preserve">Quelle: </w:t>
      </w:r>
      <w:r>
        <w:t>https://mcp.opencaselaw.ch/entscheid/ti_gerichte_15.2000.161</w:t>
      </w:r>
    </w:p>
    <w:p>
      <w:r>
        <w:t>FR: TI_GERICHTE 15.2000.161 du 23 octobre 2000</w:t>
      </w:r>
    </w:p>
    <w:p>
      <w:r>
        <w:t>IT: TI_GERICHTE 15.2000.161 del 23 ottobre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 procedere al sequestro o al pignoramento del reddito le autorità di esecuzione sono tenute ad accertare d’ufficio le circostanze determinanti al momento dell’esecuzione del sequestro o del pignoramento, ossia il reddito del debitore e il fabbisogno suo o della sua famiglia ( DTF 112 III 21; 108 III 12; 106 III 13), ritenuto che delle successive modifiche della situazione potrà essere tenuto conto soltanto mediante riesame del pignoramento ( DTF 108 III 13).</w:t>
      </w:r>
    </w:p>
    <w:p>
      <w:r>
        <w:rPr>
          <w:b/>
        </w:rPr>
        <w:t>E. 2</w:t>
      </w:r>
    </w:p>
    <w:p>
      <w:r>
        <w:t>Per quanto riguarda il calcolo del minimo di esistenza occorre rilevare che il 1° gennaio 2001 è entrata in vigore la nuova tavella del minimo di esistenza agli effetti del diritto esecutivo ( FUCT 2/2001 pag. 74 ss.); come disposto al punto IX di questa Tabella, essa entra in vigore con effetto immediato abrogando la precedente. Di conseguenza, essa esplica i suoi effetti anche per quei pignoramenti iniziati sotto l’imperio della vecchia tabella, per il periodo successivo al 1° gennaio 2001.</w:t>
      </w:r>
    </w:p>
    <w:p>
      <w:r>
        <w:rPr>
          <w:b/>
        </w:rPr>
        <w:t>E. 3</w:t>
      </w:r>
    </w:p>
    <w:p>
      <w:r>
        <w:t>Secondo la giurisprudenza del Tribunale federale, quanto necessita al sostentamento delle persone a carico del debitore è da includere nel calcolo del minimo di esistenza solo se il debitore paga effettivamente tale importo ( DTF 121 III 20; 120 III 16). Anzitutto occorre rilevare che nelle proprie osservazioni 26/27 ottobre 2000 l’UE di __________ ha  precisato che l’importo di fr. 3'000.-- indicato alla voce “figli minorenni” corrisponde in realtà agli alimenti versati a favore dell’ex moglie dell’escusso. Orbene, nel caso di specie, dopo essere stato interrogato formalmente il 13 dicembre 2000 e il 25 gennaio 2001 l’escusso ha prodotto il 9 febbraio 2001 la copia della sentenza di separazione dei coniugi __________, nonché la dichiarazione 5 febbraio 2001 con la quale l’ex moglie del debitore dichiara di aver ricevuto per l’anno 2000 l’importo di fr. 36'000.-- a titolo di alimenti. Di conseguenza l’importo mensile di fr. 3'000.-- riconosciuto dall’UE è da ritenere corretto. Nelle more di procedura è però intervenuto un fatto nuovo: il decesso nel febbraio 2001 della beneficiaria degli alimenti. Dal 1° marzo 2001 l'eccedenza pignorabile aumenterà di conseguenza di tale importo.</w:t>
      </w:r>
    </w:p>
    <w:p>
      <w:r>
        <w:rPr>
          <w:b/>
        </w:rPr>
        <w:t>E. 4</w:t>
      </w:r>
    </w:p>
    <w:p>
      <w:r>
        <w:t>La recente giurisprudenza del Tribunale federale prevede che se il debitore esercita un’attività lucrativa indipendente , l’Ufficio d’esecuzione deve: -    interrogarlo sul genere d’attività svolta; -    interrogarlo sulla natura e sul volume dei suoi affari; -    stimare l’ammontare del reddito; -    provvedere d’ufficio alle necessarie inchieste; -    raccogliere le informazioni ritenute utili; -    farsi consegnare la contabilità e tutti gli altri documenti concernenti l’attività lucrativa. Se l’inchiesta condotta dall’Ufficio non porta ad alcun elemento certo, esso terrà conto degli indizi a disposizione. Se il debitore non tiene una contabilità regolare, il risultato della sua attività indipendente deve essere valutato paragonandola ad altre simili e se necessario va stimata per apprezzamento ( DTF 126 III 91 cons.3a con rinvii).</w:t>
      </w:r>
    </w:p>
    <w:p>
      <w:r>
        <w:rPr>
          <w:b/>
        </w:rPr>
        <w:t>E. 5</w:t>
      </w:r>
    </w:p>
    <w:p>
      <w:r>
        <w:t>Interrogato formalmente il 13 dicembre 2000 e il 25 gennaio 2001 il dott __________ ha dichiarato di esercitare dal 1° luglio 2000 l’attività di medico indipendente conseguendo nel 2000 un reddito lordo di fr. 115’761,80, pari a fr. 9'646.-- mensili (cfr. verbale 13 dicembre 2000, p. 2; documentazione contabile prodotta il 10 gennaio 2001). Da tale reddito devono essere dedotti tutti i costi professionali così come indicati dal debitore Egli ha inoltre dichiarato che per la sua opera d’insegnamento all’Università di __________ non percepisce alcun compenso, consentendogli la stessa di fregiarsi del titolo di “professore” (cfr. verbale 13 dicembre 2000, p. 2). L’escusso ha inoltre affermato di non possedere beni mobili o immobili (cfr. verbale 13 dicembre 2000, p. 2/3).</w:t>
      </w:r>
    </w:p>
    <w:p>
      <w:r>
        <w:rPr>
          <w:b/>
        </w:rPr>
        <w:t>E. 6</w:t>
      </w:r>
    </w:p>
    <w:p>
      <w:r>
        <w:t>Per quanto concerne l’autovettura __________ , la stessa risulta impignorabile, essendo utilizzata dal debitore per gli spostamenti connessi con la propria attività di medico (cfr. verbale 13 dicembre 2000, p. 3). Sulla scorta di quanto espresso precedentemente e sulla base delle spese professionali, indicate dall’escusso in data 10 gennaio 2001, il calcolo dell’eccedenza pignorabile a carico del dott. __________ si presenta come segue: Introiti: Debitore                                                               fr. 9’646.-- Minimo di esistenza: importo di base                  fr.  1’100.-- alimenti                                fr. 3'000.-- locazione                             fr.  1’416.-- pasti + trasf.                        fr.     316.-- affitto studio                        fr.  1’500.-- cassa malati e ass.            fr.     425.-- totale deduzioni fr.  7’757.-- eccedenza pignorabile fino al 28 febbraio 2001 fr.  1’889.-- Con riferimento al cons. 3, dal 1° marzo 2001 l'eccedenza pignorabile sarà di fr. 4'889.--.</w:t>
      </w:r>
    </w:p>
    <w:p>
      <w:r>
        <w:rPr>
          <w:b/>
        </w:rPr>
        <w:t>E. 7</w:t>
      </w:r>
    </w:p>
    <w:p>
      <w:r>
        <w:t>Ne consegue l’accoglimento del gravame. Sulle spese occorre ricordare a futura memoria che - benché la gratuità della procedura sia contraria al sistema di diritto amministrativo in cui si muove il ricorso secondo l'art. 17 LEF ( Jean-François Poudret/Suzette Sandoz-Monod , Commentaire de la loi fédérale d'organisation judiciaire, vol. II, Berna 1990,n.2.10 all'art. 81, p.804) - siffatto principio è stato codificato per espressa volontà del legislatore (art.20a cpv.1 primo periodo LEF e 61 cpv. 2 lett. a OTLEF; DTF 125 III 383 cons.2a) Per lo stesso motivo non si assegnano indennità (art. 62 cpv. 2 OLEF). Richiamati gli art. 17 e 93 LEF, 21 cpv. 4 LPR, pronuncia: 1. Il ricorso 23 ottobre 2000 di __________, è accolto. 2. Di conseguenza l’eccedenza pignorabile a carico del dott. __________, è determinata in fr. 1'889.-- in luogo di fr. 1'005.-- per il mese di febbraio 2001 e in fr. 4'889.-- dal 1° marzo 2001. 3. Non si prelevano spese, né si assegnano indennità. 4. Contro questa decisione è dato ricorso entro dieci giorni alla Camera delle esecuzioni e dei fallimenti del Tribunale federale a Losanna, per il tramite della scrivente Camera di esecuzione e fallimenti del Tribunale d’appello, in conformità dell’art. 19 LEF. Intimazione a:                 - __________ __________ Per la Camera di esecuzione e fallimenti del Tribunale d’appello quale autorità di vigilanza Il presidente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