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15.2000.150 vom 18. Dezember 2000</w:t>
      </w:r>
    </w:p>
    <w:p>
      <w:r>
        <w:t>TI Tribunale d'appello, 2000-12-18, IT</w:t>
      </w:r>
    </w:p>
    <w:p>
      <w:r>
        <w:rPr>
          <w:b/>
        </w:rPr>
        <w:t xml:space="preserve">Quelle: </w:t>
      </w:r>
      <w:r>
        <w:t>https://mcp.opencaselaw.ch/entscheid/ti_gerichte_15.2000.150</w:t>
      </w:r>
    </w:p>
    <w:p>
      <w:r>
        <w:t>FR: TI_GERICHTE 15.2000.150 du 18 décembre 2000</w:t>
      </w:r>
    </w:p>
    <w:p>
      <w:r>
        <w:t>IT: TI_GERICHTE 15.2000.150 del 18 dicembre 2000</w:t>
      </w:r>
    </w:p>
    <w:p>
      <w:pPr>
        <w:pStyle w:val="Heading2"/>
      </w:pPr>
      <w:r>
        <w:t>Regeste</w:t>
      </w:r>
    </w:p>
    <w:p>
      <w:r>
        <w:t>Sentenza o decisione senza scheda</w:t>
      </w:r>
    </w:p>
    <w:p>
      <w:pPr>
        <w:pStyle w:val="Heading2"/>
      </w:pPr>
      <w:r>
        <w:t>Erwägungen</w:t>
      </w:r>
    </w:p>
    <w:p>
      <w:r>
        <w:rPr>
          <w:b/>
        </w:rPr>
        <w:t>E. 1</w:t>
      </w:r>
    </w:p>
    <w:p>
      <w:r>
        <w:t>La ricorrente contesta il provvedimento 11 ottobre 2000 con il quale l’UE di Lugano le ha richiesto, prima di procedere allo svincolo delle tre fideiussioni come ordinato dal Pretore con decreto 6 ottobre 2000, il versamento di complessivi fr. 1'830.-- quale copertura delle sue spese e competenze.</w:t>
      </w:r>
    </w:p>
    <w:p>
      <w:r>
        <w:rPr>
          <w:b/>
        </w:rPr>
        <w:t>E. 2</w:t>
      </w:r>
    </w:p>
    <w:p>
      <w:r>
        <w:t>Per il principio di esclusività ex art. 1 OTLEF gli uffici in materia di esecuzione possono riscuotere, per le operazioni ufficiali fatte in virtù della LEF o di altri atti legislativi federali (ad es. ex RFF), soltanto le tasse e le indennità previste nella OTLEF.</w:t>
      </w:r>
    </w:p>
    <w:p>
      <w:r>
        <w:rPr>
          <w:b/>
        </w:rPr>
        <w:t>E. 3</w:t>
      </w:r>
    </w:p>
    <w:p>
      <w:r>
        <w:t>Con il provvedimento impugnato l’UE di Lugano ha chiesto alla reclamante il versamento di complessivi Fr. 1'830.-- nell’ambito delle tre procedure di sequestro. Dagli atti di causa, segnatamente dall’incarto UE, risulta che l’Ufficio ha conteggiato le seguenti spese e competenze, per ogni procedura: - “9.6.97    tassa decisione + fotocopie                             fr. 30.-- -     26.6.97    lettere x 2                                                      fr. 26.-- -     10.10.00  art. 26 OTLEF x custodia fideiussione              fr.    500.-- lettera __________ + copia alle parti                fr.      30.-- lettera x rimborso fideiussione a __________ racc.       fr.      13.-- div. + telef.                                                    fr.      11.--“.</w:t>
      </w:r>
    </w:p>
    <w:p>
      <w:r>
        <w:rPr>
          <w:b/>
        </w:rPr>
        <w:t>E. 4</w:t>
      </w:r>
    </w:p>
    <w:p>
      <w:r>
        <w:t>Ex art.</w:t>
      </w:r>
    </w:p>
    <w:p>
      <w:r>
        <w:rPr>
          <w:b/>
        </w:rPr>
        <w:t>E. 9</w:t>
      </w:r>
    </w:p>
    <w:p>
      <w:r>
        <w:t>cpv. 1 lit. a OTLEF la tassa per la stesura di un atto non espressamente previsto nell’OTLEF è di fr. 8.-- per ogni pagina , fino a un massimo di 20 esemplari. Se una tassa deve essere calcolata secondo il numero delle pagine, ogni pagina scritta anche parzialmente, equivale a una pagina intera (art. 5 cpv. 1 OTLEF ). L’Ufficio può riscuotere una tassa di fr. 2.--per ogni fotocopia di atti esistenti (art. 9 cpv. 3 OTLEF). Tutte le spese, come le spese amministrative, le tasse postali e di telecomunicazione devono essere rimborsate (art. 13 cpv. 1 OTLEF). a. Il provvedimento 9 giugno 1997 consta di 2 pagine ed è stato inviato a creditore e debitore di ogni procedura di sequestro, cosicché l’Ufficio ha anche dovuto allestire due fotocopie. Oltre a ciò devono essere rifuse le spese dell’invio raccomandato per complessivi fr. 10.--. L’importo conteggiato di fr. 30.-- [ = (fr. 8.-- x 2) + fr. 4.-- + fr. 10.-- ] è quindi corretto. b. Le comunicazioni raccomandate 26 giugno 1997 dell’UE di Lugano a __________ e alla __________ constano di una pagina originale ciascuna e sono state trasmesse anche all’avv. __________ quale rappresentante del debitore : in base ai combinati disposti art. 9 cpv. 1 lit. a, 9 cpv. 3 e 13 cpv. 1 OTLEF l’importo conteggiato di fr. 26.-- è quindi addirittura inferiore alle spese effettivamente sostenute. c. L’UE di Lugano ha poi ancora conteggiato, oltre a fr. 500.-- quale tassa di custodia di cui si dirà in seguito, complessivi fr. 54.-- (cfr. sub 3). Il 10 ottobre 2000 l’Ufficio ha allestito una lettera di due pagine da trasmettere, non appena incassato l’importo di fr. 1’830.-- per spese e competenze, per corriere raccomandato a __________ per lo svincolo parziale delle fideiussioni. All’originale da inviare a __________ doveva essere allegata copia della sentenza 6 ottobre 2000 del Pretore di Lugano di due pagine. Lo scritto 10 ottobre 2000 sarebbe poi stato trasmesso in copia per conoscenza agli avvocati __________, __________ e __________. Prima di portare a termine le proprie incombenze, l’Ufficio avrebbe poi dovuto ancora retrocedere a mezzo raccomandata alla banca, con relativa lettera accompagnatoria, le fideiussioni prestate il 4 giugno 1997. In base ai combinati disposti art. 9 cpv. 1 lit. a, 9 cpv. 3 e 13 cpv. 1 OTLEF, anche senza considerare le spese diverse e telefoniche per complessivi fr. 11.--, l’importo conteggiato di fr. 54.-- è quindi inferiore alle spese effettivamente sostenute e ancora da sostenersi per le menzionate comunicazioni. 5. Ex art. 26 cpv. 1 OTLEF la tassa per la custodia di titoli pignorati, sequestrati o consegnati per la realizzazione del pegno ammonta, per mese, allo 0,3 per mille del valore quotato in borsa oppure, in mancanza di quest’ultimo, del valore di stima, ma al massimo a fr. 500.-- complessivamente per ogni deposito. L’UE di Lugano ha esposto una tassa di fr. 500.--, nell’ambito di ognuna delle tre procedure di sequestro, per la custodia delle fideiussioni prestate da__________ in data 4 giugno 1997. Questione controversa in concreto è quella di sapere se i documenti originali delle fideiussioni devono essere considerati dei titoli ex art. 26 cpv. 1 OTLEF che legittimano l’Ufficio a percepire una tassa di custodia. Nelle fideiussioni è indicato espressamente che le stesse annullano e sostituiscono i beni sequestrati e che, una volta scadute devono essere ritornate a__________ in originale. Essendo quindi le tre fideiussioni solidali atti sostitutivi di beni sequestrati, la conservazione del loro testo originale necessita di particolare cura e attenzione parificabile a quella che deve essere riservata a delle cartevalori vere e proprie. E’ pertanto giustificata l’applicazione della tariffa stabilita all’art. 26 cpv. 1 OTLEF, ritenuto che la definizione di titolo ex art. 26 OTLEF non corrisponde con quello di cartavalore così come definito dall’art. 965 CO. L’Ufficio deve conteggiare una tassa di custodia dello 0.3 per mille per mese dell’importo massimo garantito dalle fideiussioni, ma al massimo fr. 500.-- per ogni deposito (art. 26 cpv. 1 OTLEF). Le fideiussioni che ci occupano sono state prestate dall’UBS il 4 giugno 1997 e quindi il giorno in cui l’UE ha emanato il provvedimento impugnato erano trascorsi più di quaranta mesi. Applicando la tariffa percentuale si avrebbe una tassa di custodia di fr. 780.-- per le fideiussioni di fr. 65'000.-- e di fr. 576.-- per la fideiussione di fr. 48'000.--. Applicando la tariffa massima di fr. 500.--, l’Ufficio ha correttamente applicato la tassa di custodia a lui dovuta. Il fatto poi che l’UE di Lugano non abbia depositato ex art. 9 LEF presso la __________ (art. 29 LALEF) le note fideiussioni è irrilevante, ritenuto che l'applicazione dell’art. 9 LEF non può in tutta evidenza mutare la valenza giuridica che caratterizza l’atto di fideiussione solidale. 6. Visto l’esito del gravame anche la richiesta pecuniaria della ricorrente nei confronti dello Stato risulta essere infondata. Alla ricorrente va comunque ricordato che l’accertamento dell’eventuale danno da lei subito in connessione all’operato dell’Ufficio di esecuzione non rientra nelle competenze dell’autorità di vigilanza ( Rep 1989 p. 216, 1984 p. 175, 1982 p. 402/403). La procedura di ricorso è infatti volta a raggiungere uno scopo procedurale ben definito e non può servire per precostituirsi una favorevole base di partenza per la successiva -eventuale- azione di responsabilità ex art. 5, 6 e 7 LEF (cfr. art. 21 LEF; Rep 1989 p. 216/217; DTF 81 III 67, 81 III 72 consid. 3, 86 III 109 consid. 1, 91 III 46-47 consid. 7, 105 III 36/37, 110 III 89 consid. 1b; Flavio Cometta, Commentario alla LPR, Lugano 1998, p. 115s, n. 2.4).). Le pretese risarcitorie e i relativi presupposti, illiceità e colpa oltre a danno e nesso adeguato di causalità, sono infatti di esclusiva competenza del giudice civile cui la reclamante potrà, se del caso, ricorrere ( Rep . 1989 p. 217 e rif. ivi). 7. Il ricorso è quindi respinto. Non si prelevano spese (art. 61 cpv. 2 lett. a OTLEF) e non si assegnano indennità (art. 62 cpv. 2 OTLEF), perché così è disciplinato per normativa di diritto federale. Richiamati gli art. 17 LEF, 1 ss, 5, 9, 13, 26 OTLEF, 29 LALEF pronuncia:              1. Il ricorso 23 ottobre 2000 __________, è respinto.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