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15.2000.134 vom 17. Oktober 2000</w:t>
      </w:r>
    </w:p>
    <w:p>
      <w:r>
        <w:t>TI Tribunale d'appello, 2000-10-17, IT</w:t>
      </w:r>
    </w:p>
    <w:p>
      <w:r>
        <w:rPr>
          <w:b/>
        </w:rPr>
        <w:t xml:space="preserve">Quelle: </w:t>
      </w:r>
      <w:r>
        <w:t>https://mcp.opencaselaw.ch/entscheid/ti_gerichte_15.2000.134</w:t>
      </w:r>
    </w:p>
    <w:p>
      <w:r>
        <w:t>FR: TI_GERICHTE 15.2000.134 du 17 octobre 2000</w:t>
      </w:r>
    </w:p>
    <w:p>
      <w:r>
        <w:t>IT: TI_GERICHTE 15.2000.134 del 17 ottobre 2000</w:t>
      </w:r>
    </w:p>
    <w:p>
      <w:pPr>
        <w:pStyle w:val="Heading2"/>
      </w:pPr>
      <w:r>
        <w:t>Regeste</w:t>
      </w:r>
    </w:p>
    <w:p>
      <w:r>
        <w:t>Sentenza o decisione senza scheda</w:t>
      </w:r>
    </w:p>
    <w:p>
      <w:pPr>
        <w:pStyle w:val="Heading2"/>
      </w:pPr>
      <w:r>
        <w:t>Erwägungen</w:t>
      </w:r>
    </w:p>
    <w:p>
      <w:r>
        <w:rPr>
          <w:b/>
        </w:rPr>
        <w:t>E. 1</w:t>
      </w:r>
    </w:p>
    <w:p>
      <w:r>
        <w:t>Dall’incarto relativo alla procedura esecutiva n. __________ dell’UEF di Bellinzona risulta che il giudice del rigetto dell’opposizione ha appurato che il titolo di credito vantato dal creditore procedente è una sentenza cresciuta in giudicato, atteso che l’escusso ha interposto ricorso fino al Tribunale federale, che ha confermato la sentenza del Tribunale procedente. Con ricorso 12 settembre 2000, __________ ritiene che tale sentenza violi i suoi diritti sanciti dalla CEDU e che pertanto l’UEF avrebbe dovuto rifiutarsi di eseguire il pignoramento. Tale posizione non può essere condivisa per due ragioni:</w:t>
      </w:r>
    </w:p>
    <w:p>
      <w:r>
        <w:rPr>
          <w:b/>
        </w:rPr>
        <w:t>E. 1.1</w:t>
      </w:r>
    </w:p>
    <w:p>
      <w:r>
        <w:t>Il soggetto di diritto che si ritiene leso da una decisione di un’autorità elvetica non più soggetta ad alcun ricorso, non può impedire la sua crescita in giudicato con un ricorso alla Corte dei Diritti dell’Uomo di Strasburgo; semmai, se questa Corte o il Comitato dei Ministri accerta una violazione della CEDU nella contestata decisione, l’autorità giudicante elvetica sarà chiamata a rivedere la propria decisione in virtù dell’art. 139a OG. Di conseguenza, anche se __________ avesse interposto ricorso in virtù della CEDU contro la sentenza del Tribunale penale, essa diverrebbe comunque immediatamente esecutiva. Una sua futura revisione ex art. 139a OG comporterebbe pure la revisione di tutte le decisioni che ne sono nel frattempo discese.</w:t>
      </w:r>
    </w:p>
    <w:p>
      <w:r>
        <w:rPr>
          <w:b/>
        </w:rPr>
        <w:t>E. 1.2</w:t>
      </w:r>
    </w:p>
    <w:p>
      <w:r>
        <w:t>Secondariamente, il ricorso che verte unicamente su questioni di merito non può trovare accoglimento nella procedura di ricorso dell’art. 17 LEF ( DTF 109 III 100 cons. 2; CEF 11 luglio 2000 in re __________ c. __________; Flavio Cometta , in: Kommentar zum Bundesgesetz über Schuldbetreibung und Konkurs , Basilea/Ginevra/Monaco 1998, ad art. 17 n° 12 ss.); esse semmai vanno fatte valere nella procedura di rigetto dell’opposizione o in seno ad una procedura ordinaria civile, amministrativa o penale. Di conseguenza, giusta l’art 9 LPR il ricorso deve essere dichiarato irricevibile senza ulteriori atti istruttori.</w:t>
      </w:r>
    </w:p>
    <w:p>
      <w:r>
        <w:rPr>
          <w:b/>
        </w:rPr>
        <w:t>E. 2</w:t>
      </w:r>
    </w:p>
    <w:p>
      <w:r>
        <w:t>Sulle tasse occorre ricordare che – benché la gratuità della procedura sia contraria al sistema di diritto amministrativo in cui si muove il ricorso secondo l’art. 17 LEF ( Jean-François Poudret / Suzette Poudret-Sandoz , Commentaire de la loi fédérale d’organisation judiciaire , vol. II, Berna 1990, n.2.10 all’art. 81, pag. 804) – siffatto principio è stato codificato per espressa volontà del legislatore (art. 20a cpv. 1 primo periodo LEF e 61 cpv.2 lett. a OTLEF; DTF 125 III 383 cons. 2a). Per lo stesso motivo non si assegnano indennità (art. 62 cpv. 2 OTLEF). richiamati gli art. 17, 20a LEF, art. 139a OG, art. 61 e 62 OTLEF, art. 9 LPR,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