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15.2000.127 vom 17. Oktober 2000</w:t>
      </w:r>
    </w:p>
    <w:p>
      <w:r>
        <w:t>TI Tribunale d'appello, 2000-10-17, IT</w:t>
      </w:r>
    </w:p>
    <w:p>
      <w:r>
        <w:rPr>
          <w:b/>
        </w:rPr>
        <w:t xml:space="preserve">Quelle: </w:t>
      </w:r>
      <w:r>
        <w:t>https://mcp.opencaselaw.ch/entscheid/ti_gerichte_15.2000.127</w:t>
      </w:r>
    </w:p>
    <w:p>
      <w:r>
        <w:t>FR: TI_GERICHTE 15.2000.127 du 17 octobre 2000</w:t>
      </w:r>
    </w:p>
    <w:p>
      <w:r>
        <w:t>IT: TI_GERICHTE 15.2000.127 del 17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Nell’esecuzione in via di realizzazione del pegno la notifica del precetto esecutivo avviene in conformità con quanto disposto dall’art. 70 LEF; oltre al precetto esecutivo per il debitore, l’Ufficio deve provvedere ad allestire un precetto anche per il condebitore (art. 70 cpv. 2 LEF), uno per il terzo che ha costituito il pegno o ne è diventato proprietario (art. 153 cpv. 2 lett. a LEF), e uno per il coniuge del debitore o del terzo se il fondo pignorato è l’abitazione di famiglia (art. 153 cpv. 2 lett. b LEF); terzo, ai sensi dell’art. 153 cpv. 2 LEF è pure il proprietario comune o il comproprietario del pegno ( Marc Bernheim/Philipp Känzig , in: Basler Kommentar zum SchKG , Basilea/Ginevra/Monaco 1998, n. 10 ad art. 153).</w:t>
      </w:r>
    </w:p>
    <w:p>
      <w:r>
        <w:rPr>
          <w:b/>
        </w:rPr>
        <w:t>E. 1.1</w:t>
      </w:r>
    </w:p>
    <w:p>
      <w:r>
        <w:t>Di conseguenza è annullato l’incanto del 14 settembre 2000 nelle esecuzioni __________ e __________ dell’UE di __________.</w:t>
      </w:r>
    </w:p>
    <w:p>
      <w:r>
        <w:rPr>
          <w:b/>
        </w:rPr>
        <w:t>E. 1.2</w:t>
      </w:r>
    </w:p>
    <w:p>
      <w:r>
        <w:t>L’UE di __________ si determinerà ai sensi del cons. 4.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avv. __________; - __________ - __________; - __________; Comunicazione all’UE di __________. Per la Camera di esecuzione e fallimenti del Tribunale d’appello quale autorità di vigilanza Il presidente La segretaria</w:t>
      </w:r>
    </w:p>
    <w:p>
      <w:r>
        <w:rPr>
          <w:b/>
        </w:rPr>
        <w:t>E. 2</w:t>
      </w:r>
    </w:p>
    <w:p>
      <w:r>
        <w:t>Con la notifica del precetto esecutivo, il debitore, il condebitore, il terzo e eventualmente il coniuge di questi assumono il ruolo di co-escussi; tutti possono interporre opposizione al precetto esecutivo e possono far valere le eccezioni personali e comuni verso il creditore, sia che esse riguardino il credito stesso sia il diritto di pegno (art. 153 cpv. 2 seconda frase LEF e art. 88 RFF). Il creditore che vuole ottenere la realizzazione forzata del pegno, può continuare l’esecuzione solo quando tutti i precetti esecutivi sono cresciuti in giudicato (art. 100 cpv. 1 RFF; M. Bernheim/P. Känzig , op. cit. , n. 31 ad art. 153).</w:t>
      </w:r>
    </w:p>
    <w:p>
      <w:r>
        <w:rPr>
          <w:b/>
        </w:rPr>
        <w:t>E. 3</w:t>
      </w:r>
    </w:p>
    <w:p>
      <w:r>
        <w:t>Nel caso in esame, occorre rilevare che l’__________ – nelle sue domande di esecuzione nei confronti dei coniugi __________ e __________ – ha menzionato quale titolo un contratto di prestito (verosimilmente tra i condebitori e l’__________), un riconoscimento di debito del 23 marzo 1998, nonché due cartelle ipotecarie al portatore di fr. 200'000.-- cadauna (iscritte in II. e III. rango sul mapp. __________ RFD di __________). La creditrice stessa ha segnalato sul suo formulario che questo fondo era intestato a __________ e __________ in ragione di metà ciascuna. Di conseguenza l’Ufficio avrebbe dovuto provvedere ad allestire un precetto esecutivo anche nei confronti di __________ (art. 100 RFF).</w:t>
      </w:r>
    </w:p>
    <w:p>
      <w:r>
        <w:rPr>
          <w:b/>
        </w:rPr>
        <w:t>E. 4</w:t>
      </w:r>
    </w:p>
    <w:p>
      <w:r>
        <w:t>Dal momento che non è stato allestito alcun precetto esecutivo nei confronti della ricorrente, e che pertanto il creditore non può a questo stadio ancora richiedere il proseguimento dell’esecuzione, l’incanto previsto dall’Ufficio va annullato; quest’ultimo provvederà pure a notificare alla ricorrente un precetto esecutivo sulla base delle indicazioni contenute nelle domande di esecuzione 23 novembre 1998 dell’__________. Ne consegue che il ricorso 13 agosto 2000 deve essere accolto, per quanto riguarda l’annullamento dell’incanto, ma va respinto in quanto tenda all’annullamento delle procedure esecutive contro __________ e __________.</w:t>
      </w:r>
    </w:p>
    <w:p>
      <w:r>
        <w:rPr>
          <w:b/>
        </w:rPr>
        <w:t>E. 5</w:t>
      </w:r>
    </w:p>
    <w:p>
      <w:r>
        <w:t>Sulle tasse occorre ricordare che – benché la gratuità della procedura sia contraria al sistema di diritto amministrativo in cui si muove il ricorso secondo l’art. 17 LEF ( Jean-François Poudret/Suzette Poudret-Sandoz , Commentaire de la loi fédérale d’organisation judiciaire , vol. II, Berna 1990, n.2.10 all’art. 81, pag. 804) – siffatto principio è stato codificato per espressa volontà del legislatore (art. 20a cpv. 1 primo periodo LEF e 61 cpv.2 lett. a OTLEF; DTF 125 III 383 cons. 2a). Per lo stesso motivo non si assegnano indennità (art. 62 cpv. 2 OTLEF). richiamati gli art. 17, 20a, 70 e 153 LEF, art. 88 e 100 RFF, art. 61 e 62 OTLEF, pronuncia: 1. Il ricorso è parzialmente accolto.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