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15.2000.124 vom 20. April 2001</w:t>
      </w:r>
    </w:p>
    <w:p>
      <w:r>
        <w:t>TI Tribunale d'appello, 2001-04-20, IT</w:t>
      </w:r>
    </w:p>
    <w:p>
      <w:r>
        <w:rPr>
          <w:b/>
        </w:rPr>
        <w:t xml:space="preserve">Quelle: </w:t>
      </w:r>
      <w:r>
        <w:t>https://mcp.opencaselaw.ch/entscheid/ti_gerichte_15.2000.124</w:t>
      </w:r>
    </w:p>
    <w:p>
      <w:r>
        <w:t>FR: TI_GERICHTE 15.2000.124 du 20 avril 2001</w:t>
      </w:r>
    </w:p>
    <w:p>
      <w:r>
        <w:t>IT: TI_GERICHTE 15.2000.124 del 20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Per l’art. 140 LEF prima dell’incanto l’ufficiale constata, in base alle insinuazioni presentate e all’estratto del registro fondiario, gli oneri gravanti il fondo. Le pretese che non implicano oneri reali per il fondo non saranno menzionate nell’elenco oneri (art. 36 cpv. 1 primo periodo, seconda parte RFF); d’altra parte l’ufficio esecuzione non può rifiutare l’iscrizione degli oneri che risultano dall’estratto del registro fondiario o che furono insinuati entro il termine, né modificarli, né contestarli, né esigere la produzione di prove (art. 36 cpv. 2 primo periodo RFF). Giova qui ricordare che, come precisa l’art. 34 cpv. 1 lett.b terzo periodo RFF, ove l’insinuazione di un onere non sia conforme all’estratto del registro fondiario, l’ufficio dovrà attenersi all’insinuazione, ma menzionerà anche il contenuto dell’iscrizione nel registro; se l’onere insinuato è meno esteso di quanto risulti dal registro fondiario, l’ufficio, ottenuto il consenso del titolare, provvederà alla modificazione o cancellazione dell’iscrizione nel registro fondiario (art. 34 cpv. 1 lett. b quarto periodo RFF).</w:t>
      </w:r>
    </w:p>
    <w:p>
      <w:r>
        <w:rPr>
          <w:b/>
        </w:rPr>
        <w:t>E. 3</w:t>
      </w:r>
    </w:p>
    <w:p>
      <w:r>
        <w:t>Nel caso di specie la part. __________ RFD di __________ di proprietà dell’escussa risulta gravata da un diritto di superficie per sé stante e permanente, intavolato al foglio __________, della durata di 30 anni iscritto a Registro fondiario il 26 ottobre 1994 a favore della __________. Orbene tale diritto è stato correttamente riportato dall’UE di Lugano nell’elenco oneri della part. __________ RFD di __________, conformemente all’estratto del Registro fondiario. L’Ufficio non avrebbe potuto modificare l’iscrizione risultante a Registro fondiario, così come preteso dalla ricorrente, in quanto la stessa risulta vincolante per l’UE (cfr. art. 36 cpv. 2 RFF). Di conseguenza il ricorso 15.2000.124 si rivela infondato e deve quindi essere respinto. Le censure relative all’indennità del superficiario ex art. 779 d CC devono essere demandate al giudice di merito nell’ambito dell’azione di contestazione dell’elenco oneri, sfuggendo tale esame al potere di cognizione di questa Camera.</w:t>
      </w:r>
    </w:p>
    <w:p>
      <w:r>
        <w:rPr>
          <w:b/>
        </w:rPr>
        <w:t>E. 4</w:t>
      </w:r>
    </w:p>
    <w:p>
      <w:r>
        <w:t>Per l’art. 142 cpv. 1 LEF qualora il fondo sia gravato, senza il consenso del creditore ipotecario pignoratizio anteriore, da servitù, da oneri fondiari a da un diritto personale annotato e la precedenza del diritto di pegno risulta dall’elenco degli oneri, il creditore pignoratizio può pretendere, entro dieci giorni dalla notificazione dell’elenco degli oneri, che il fondo sia messo all’incanto con o senza questo aggravio. Determinante per stabilire la precedenza del diritto di pegno risulta essere l’iscrizione a Registro fondiario (cfr. Markus Häsermann/Kurt Stöckli/Andreas Feutz, Basler Kommentar zum SchKG, Basilea/Ginevra/Monaco 1998, n. 11 e 12 ad art. 142 LEF). La comunicazione del doppio turno d’asta deve avvenire al più tardi al momento dell’incanto (cfr. art. 56 RFF)</w:t>
      </w:r>
    </w:p>
    <w:p>
      <w:r>
        <w:rPr>
          <w:b/>
        </w:rPr>
        <w:t>E. 5</w:t>
      </w:r>
    </w:p>
    <w:p>
      <w:r>
        <w:t>Nel caso in esame le cartelle ipotecarie detenute dal creditore procedente __________ risultano essere state iscritte a Registro Fondiario tra il 1963 e il 1986, mentre il diritto di superficie gravante la particella __________ RFD di __________ è stato iscritto soltanto nel 1994. Di conseguenza il diritto di pegno di __________ risulta essere prevalente rispetto al diritto di superficie della ricorrente. La richiesta di __________ di mettere all’incanto la part. __________ RFD di __________ mediante doppio turno d’asta è quindi perfettamente legittima e la successiva comunicazione 4 settembre 2001 da parte dell’UE di Lugano  alla __________ è conforme alla legge, essendo adempiuti i requisiti di cui all’art. 142 cpv. 1 LEF . Ne consegue la reiezione del ricorso 15.2000.125.</w:t>
      </w:r>
    </w:p>
    <w:p>
      <w:r>
        <w:rPr>
          <w:b/>
        </w:rPr>
        <w:t>E. 6</w:t>
      </w:r>
    </w:p>
    <w:p>
      <w:r>
        <w:t>Intimazione a: - __________; Comunicazione all’UE di Lugano. Per la Camera di esecuzione e fallimenti del Tribunale d’appello quale autorità di vigilanza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