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15.2000.111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https://mcp.opencaselaw.ch/entscheid/ti_gerichte_15.2000.111</w:t>
      </w:r>
    </w:p>
    <w:p>
      <w:r>
        <w:t>FR: TI_GERICHTE 15.2000.111 du 30 août 2000</w:t>
      </w:r>
    </w:p>
    <w:p>
      <w:r>
        <w:t>IT: TI_GERICHTE 15.2000.111 del 30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LEF ( Jean-François Poudret / Suzette Poudret-Sandoz , Commentaire de la loi fédérale d’organisation judiciaire , vol. II, Berna 1990, n.2.10 all’art. 81, pag. 804) – siffatto principio è stato codificato per espressa volontà del legislatore (art. 20a cpv. 1 primo periodo LEF e 61 cpv.2 lett. a OTLEF; DTF 125 III 383 cons. 2a). Per lo stesso motivo non si assegnano indennità (art. 62 cpv. 2 OTLEF); richiamati gli art. 17 e 20a e 134 ss. LEF, art. 108 RFF, art. 61 e 62 OTLEF, pronuncia: 1. Il ricorso 14 agosto di __________ è accolto. 1.1. È annullata la pubblicazione __________ sul Foglio Ufficiale __________. 1.2. È fatto ordine all'UE di Lugano di determinarsi ai sensi dei considerandi.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      - __________ Comunicazione all'UE di Lugano.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