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15.2000.11 vom 7. März 2000</w:t>
      </w:r>
    </w:p>
    <w:p>
      <w:r>
        <w:t>TI Tribunale d'appello, 2000-03-07, IT</w:t>
      </w:r>
    </w:p>
    <w:p>
      <w:r>
        <w:rPr>
          <w:b/>
        </w:rPr>
        <w:t xml:space="preserve">Quelle: </w:t>
      </w:r>
      <w:r>
        <w:t>https://mcp.opencaselaw.ch/entscheid/ti_gerichte_15.2000.11</w:t>
      </w:r>
    </w:p>
    <w:p>
      <w:r>
        <w:t>FR: TI_GERICHTE 15.2000.11 du 7 mars 2000</w:t>
      </w:r>
    </w:p>
    <w:p>
      <w:r>
        <w:t>IT: TI_GERICHTE 15.2000.11 del 7 marzo 2000</w:t>
      </w:r>
    </w:p>
    <w:p>
      <w:pPr>
        <w:pStyle w:val="Heading2"/>
      </w:pPr>
      <w:r>
        <w:t>Regeste</w:t>
      </w:r>
    </w:p>
    <w:p>
      <w:r>
        <w:t>Sentenza o decisione senza scheda</w:t>
      </w:r>
    </w:p>
    <w:p>
      <w:pPr>
        <w:pStyle w:val="Heading2"/>
      </w:pPr>
      <w:r>
        <w:t>Erwägungen</w:t>
      </w:r>
    </w:p>
    <w:p>
      <w:r>
        <w:rPr>
          <w:b/>
        </w:rPr>
        <w:t>E. 2</w:t>
      </w:r>
    </w:p>
    <w:p>
      <w:r>
        <w:t>Il ricorrente chiede che venga tenuto conto dei debiti contratti per imposte comunali e cantonali.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le deduzioni prospettate dal ricorrente per il pagamento dei debiti contratti non possono entrare in linea di conto per il calcolo del minimo vitale: alla luce dei principi giurisprudenziali richiamati, nulla giustifica il privilegio che il debitore pretende sia concesso al Comune e al Cantone. Abbondanzialmente si rileva altresì che non vi sarebbe alcuna garanzia che gli importi di cui si chiede la deduzione vengano effettivamente versati ai creditori (cfr. in senso convergente Georges Vonder Mühll, Basler Kommentar zum SchKG, Basilea/Ginevra/Monaco 1998, n. 33 ad art. 93 LEF).</w:t>
      </w:r>
    </w:p>
    <w:p>
      <w:r>
        <w:rPr>
          <w:b/>
        </w:rPr>
        <w:t>E. 3</w:t>
      </w:r>
    </w:p>
    <w:p>
      <w:r>
        <w:t>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Amonn/Gasser, Grundriss des Schuldbetreibungs-und Konkursrechts, Berna 1997, § 23 n.27, p.170; Fritzsche/Walder, Schuldbetreibung und Konkurs nach schweizerischem Recht, vol. I, Zurigo 1984, § 24 n..60). In casu il ricorrente chiede il riconoscimento dell'importo relativo al premio dell'assicurazione veicoli a motore per l'autovettura  __________ che egli usa per recarsi al lavoro. Dalla documentazione agli atti risulta che tale premio, comprensivo della copertura assicurativa RC e casco totale, ammonta per il periodo 1° gennaio/1° luglio 2000 a fr. 1'455.40. Il veicolo utilizzato dall'escusso è oggetto di un contratto di leasing con la società __________ di __________ e di conseguenza risulta impignorabile. Tale contratto prevede la stipulazione di una copertura assicurativa casco totale. Orbene considerato che l'escusso abita a __________ e svolge la propria attività di assistente di cura, con orari di lavoro irregolari, a __________, appare adeguato riconoscere a titolo di spese assicurative l'importo mensile di fr. 240.--, nonché fr. 420.-- di canone leasing per l'autovettura che l'escusso utilizza per recarsi al lavoro. Ove l'escusso cambiasse posto di lavoro si ricorda che siffatto mutamento dovrà essere tempestivamente notificato all'UE di Lugano, sotto pena di sanzione penale in caso di ritardata o mancata comunicazione.</w:t>
      </w:r>
    </w:p>
    <w:p>
      <w:r>
        <w:rPr>
          <w:b/>
        </w:rPr>
        <w:t>E. 4</w:t>
      </w:r>
    </w:p>
    <w:p>
      <w:r>
        <w:t>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