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 vom 20. April 2000</w:t>
      </w:r>
    </w:p>
    <w:p>
      <w:r>
        <w:t>TI Tribunale d'appello, 2000-04-20, IT</w:t>
      </w:r>
    </w:p>
    <w:p>
      <w:r>
        <w:rPr>
          <w:b/>
        </w:rPr>
        <w:t xml:space="preserve">Quelle: </w:t>
      </w:r>
      <w:r>
        <w:t>https://mcp.opencaselaw.ch/entscheid/ti_gerichte_15.2000.1</w:t>
      </w:r>
    </w:p>
    <w:p>
      <w:r>
        <w:t>FR: TI_GERICHTE 15.2000.1 du 20 avril 2000</w:t>
      </w:r>
    </w:p>
    <w:p>
      <w:r>
        <w:t>IT: TI_GERICHTE 15.2000.1 del 20 aprile 2000</w:t>
      </w:r>
    </w:p>
    <w:p>
      <w:pPr>
        <w:pStyle w:val="Heading2"/>
      </w:pPr>
      <w:r>
        <w:t>Regeste</w:t>
      </w:r>
    </w:p>
    <w:p>
      <w:r>
        <w:t>Sentenza o decisione senza scheda</w:t>
      </w:r>
    </w:p>
    <w:p>
      <w:pPr>
        <w:pStyle w:val="Heading2"/>
      </w:pPr>
      <w:r>
        <w:t>Erwägungen</w:t>
      </w:r>
    </w:p>
    <w:p>
      <w:r>
        <w:rPr>
          <w:b/>
        </w:rPr>
        <w:t>E. 2</w:t>
      </w:r>
    </w:p>
    <w:p>
      <w:r>
        <w:t>Interrogata formalmente il 30 marzo 2000, __________ ha dichiarato di aver locato un monolocale nelle immediate vicinanze del luogo di lavoro per una pigione mensile di fr. 588.--, comprensivi dell’acconto spese . La ricorrente pernotta però per circa metà settimana presso i genitori a __________, senza versar loro alcun contributo. I pasti presi fuori casa non causano alcuna spesa a __________, visto che vengono forniti gratuitamente dal datore di lavoro. La spesa per l’abbonamento Arcobaleno in fr. 53.—mensili non può essere riconosciuta poiché l’escussa non ha alcun bisogno oggettivo di spostamento. Il calcolo del minimo esistenziale effettuato dall’ufficio, supportato dalle relative pezze giustificative, è quindi assolutamente corretto.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