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15.2000.00199 vom 24. Januar 2001</w:t>
      </w:r>
    </w:p>
    <w:p>
      <w:r>
        <w:t>TI Tribunale d'appello, 2001-01-24, IT</w:t>
      </w:r>
    </w:p>
    <w:p>
      <w:r>
        <w:rPr>
          <w:b/>
        </w:rPr>
        <w:t xml:space="preserve">Quelle: </w:t>
      </w:r>
      <w:r>
        <w:t>https://mcp.opencaselaw.ch/entscheid/ti_gerichte_15.2000.00199</w:t>
      </w:r>
    </w:p>
    <w:p>
      <w:r>
        <w:t>FR: TI_GERICHTE 15.2000.00199 du 24 janvier 2001</w:t>
      </w:r>
    </w:p>
    <w:p>
      <w:r>
        <w:t>IT: TI_GERICHTE 15.2000.00199 del 24 gennaio 2001</w:t>
      </w:r>
    </w:p>
    <w:p>
      <w:pPr>
        <w:pStyle w:val="Heading2"/>
      </w:pPr>
      <w:r>
        <w:t>Regeste</w:t>
      </w:r>
    </w:p>
    <w:p>
      <w:r>
        <w:t>Sentenza o decisione senza scheda</w:t>
      </w:r>
    </w:p>
    <w:p>
      <w:pPr>
        <w:pStyle w:val="Heading2"/>
      </w:pPr>
      <w:r>
        <w:t>Erwägungen</w:t>
      </w:r>
    </w:p>
    <w:p>
      <w:r>
        <w:rPr>
          <w:b/>
        </w:rPr>
        <w:t>E. 1</w:t>
      </w:r>
    </w:p>
    <w:p>
      <w:r>
        <w:t>La censura del ricorrente riguardante l’indicazione in lingua tedesca della causa del credito lede il principio della buona fede in quanto l’escusso (si comparino le firme della procura, doc. A, e sul precetto esecutivo, doc. B) ha interposto opposizione nella medesima lingua.</w:t>
      </w:r>
    </w:p>
    <w:p>
      <w:r>
        <w:rPr>
          <w:b/>
        </w:rPr>
        <w:t>E. 1.1</w:t>
      </w:r>
    </w:p>
    <w:p>
      <w:r>
        <w:t>Di conseguenza, all’Ufficio di esecuzione di Lugano è ordinato la cancellazione dal registro delle esecuzioni dell’indicazione __________ alla voce creditore nell’esecuzione __________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2</w:t>
      </w:r>
    </w:p>
    <w:p>
      <w:r>
        <w:t>L’ufficio di esecuzione non deve esaminare d’ufficio se le persone che hanno firmato una domanda di esecuzione a nome del creditore possiedono veramente l’asserito potere di rappresentanza. Le contestazioni su questo punto devono essere fatte valere con ricorso ex art. 17 ss. LEF e non con opposizione, poiché esse non concernono né il credito in sé né il potere del procedente di farlo valere in esecuzione, bensì una questione puramente procedurale e quindi di competenza delle autorità di vigilanza (cfr. DTF 84 III 74, cons. 1; Sabine Kofmel Ehrenzeller , Basler Kommentar zum SchKG, Basilea/Ginevra/ Monaco 1998, vol. I, n. 23 ad art. 67; Pierre-Robert Gilliéron , Commentaire de la LP, vol. I., Losanna 1999, n. 31 ad art. 67). Il ricorso, tempestivo, è quindi ricevibile.</w:t>
      </w:r>
    </w:p>
    <w:p>
      <w:r>
        <w:rPr>
          <w:b/>
        </w:rPr>
        <w:t>E. 3</w:t>
      </w:r>
    </w:p>
    <w:p>
      <w:r>
        <w:t>Per giudicare chi può rappresentare una società anonima, le autorità di esecuzione devono attenersi di massima alle iscrizioni figuranti nel registro di commercio (cfr. DTF 84 III 74, cons. 2). Nel caso di specie, risulta che __________ non è amministratore __________ (cfr. doc. C, così come estratto dal registro di commercio __________ stato al 12 gennaio 2001, assunto d’ufficio e “online” da questa Camera) e non vi é agli atti alcuna procura a suo favore. __________ risulta invece amministratore unico della società __________ (cfr. doc. D, così come estratto dal registro di commercio __________, stato al 15 gennaio 2001, assunto d’ufficio e “online” da questa Camera). L’esecuzione __________ deve quindi essere annullata per quanto concerne la società __________ e mantenuta a favore della società ___________. Il registro delle esecuzioni sarà corretto in tal senso.</w:t>
      </w:r>
    </w:p>
    <w:p>
      <w:r>
        <w:rPr>
          <w:b/>
        </w:rPr>
        <w:t>E. 4</w:t>
      </w:r>
    </w:p>
    <w:p>
      <w:r>
        <w:t>Intimazione a:  __________ Per la Camera di esecuzione e fallimenti del Tribunale d’appello quale autorità di vigilanza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