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15.2000.00191 vom 27. Dezember 2000</w:t>
      </w:r>
    </w:p>
    <w:p>
      <w:r>
        <w:t>TI Tribunale d'appello, 2000-12-27, IT</w:t>
      </w:r>
    </w:p>
    <w:p>
      <w:r>
        <w:rPr>
          <w:b/>
        </w:rPr>
        <w:t xml:space="preserve">Quelle: </w:t>
      </w:r>
      <w:r>
        <w:t>https://mcp.opencaselaw.ch/entscheid/ti_gerichte_15.2000.00191_d20001227</w:t>
      </w:r>
    </w:p>
    <w:p>
      <w:r>
        <w:t>FR: TI_GERICHTE 15.2000.00191 du 27 décembre 2000</w:t>
      </w:r>
    </w:p>
    <w:p>
      <w:r>
        <w:t>IT: TI_GERICHTE 15.2000.00191 del 27 dicembre 2000</w:t>
      </w:r>
    </w:p>
    <w:p>
      <w:pPr>
        <w:pStyle w:val="Heading2"/>
      </w:pPr>
      <w:r>
        <w:t>Regeste</w:t>
      </w:r>
    </w:p>
    <w:p>
      <w:r>
        <w:t>Sentenza o decisione senza scheda</w:t>
      </w:r>
    </w:p>
    <w:p>
      <w:pPr>
        <w:pStyle w:val="Heading2"/>
      </w:pPr>
      <w:r>
        <w:t>Erwägungen</w:t>
      </w:r>
    </w:p>
    <w:p>
      <w:r>
        <w:rPr>
          <w:b/>
        </w:rPr>
        <w:t>E. 2</w:t>
      </w:r>
    </w:p>
    <w:p>
      <w:r>
        <w:t>La banca resistente contesta innanzitutto la legittimazione ricorsuale del Comune di __________, asseverando di non aver ricevuto un avviso di pignoramento per l’esecuzione promossa da questo ricorrente. Orbene, un tale avviso deve essere notificato solo all’escusso (art. 90 LEF), il quale, nel caso di specie, non ha contestato di averlo ricevuto. D’altronde, il pignoramento è stato eseguito alla presenza del debitore ed a quella del proprio patrocinatore.</w:t>
      </w:r>
    </w:p>
    <w:p>
      <w:r>
        <w:rPr>
          <w:b/>
        </w:rPr>
        <w:t>E. 2.1</w:t>
      </w:r>
    </w:p>
    <w:p>
      <w:r>
        <w:t>Di conseguenza, è ordinato all’Ufficio di esecuzione di Lugano il pignoramento del credito relativo ai conti n. __________ __________ intestati alla __________ 3. Il ricorso 27 novembre 2000 della __________ è accolto.</w:t>
      </w:r>
    </w:p>
    <w:p>
      <w:r>
        <w:rPr>
          <w:b/>
        </w:rPr>
        <w:t>E. 3</w:t>
      </w:r>
    </w:p>
    <w:p>
      <w:r>
        <w:t>La resistente contesta pure, a titolo cautelativo, la tempestività del ricorso. Il verbale di pignoramento è stato spedito ai ricorrenti il 14 novembre 2000 con invio semplice. Non vi è però la prova che i ricorrenti ne abbiano avuto conoscenza prima del 17 novembre 2000. Il ricorso è quindi da considerare tempestivo. Il fatto poi che i ricorrenti non abbiano ricorso contro l’esecuzione dei sequestri è ininfluente nella presente causa. Il pignoramento non è infatti limitato ai beni sequestrati, poiché l’escusso è domiciliato in Svizzera, di modo che __________ va considerato quale foro generale di esecuzione ai sensi dell’art. 46 cpv. 1 LEF.</w:t>
      </w:r>
    </w:p>
    <w:p>
      <w:r>
        <w:rPr>
          <w:b/>
        </w:rPr>
        <w:t>E. 3.1</w:t>
      </w:r>
    </w:p>
    <w:p>
      <w:r>
        <w:t>Di conseguenza, è ordinato all’Ufficio di esecuzione di Lugano il pignoramento del credito relativo ai conti n. __________ __________ intestati alla __________, __________ 4. Non si prelevano tasse,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__________ . Per la Camera di esecuzione e fallimenti del Tribunale d’appello quale autorità di vigilanza Il presidente                                                           Il segretario</w:t>
      </w:r>
    </w:p>
    <w:p>
      <w:r>
        <w:rPr>
          <w:b/>
        </w:rPr>
        <w:t>E. 4</w:t>
      </w:r>
    </w:p>
    <w:p>
      <w:r>
        <w:t>La censura della resistente relativa al fatto che sarebbero stati sequestrati beni di un terzo, ossia la società __________ __________, è ampiamente tardiva, atteso che il sequestro è stato eseguito il 18 luglio 2000; del resto, questa Camera non è competente su questo punto (cfr. CEF [15.00.166] 2 maggio 2000, cons. 1; Stoffel , Basler Kommentar zum SchKG, Basilea/Ginevra/ Monaco 1998, vol. III, n. 49 ad art. 271; Reiser , op. cit., n. 16 ad art. 275). I sequestri non possono quindi più essere messi in discussione.</w:t>
      </w:r>
    </w:p>
    <w:p>
      <w:r>
        <w:rPr>
          <w:b/>
        </w:rPr>
        <w:t>E. 4.1</w:t>
      </w:r>
    </w:p>
    <w:p>
      <w:r>
        <w:t>Ci si potrebbe chiedere se __________ non sia ora preclusa per rivendicare i beni sequestrati, non avendolo fatto durante la procedura di sequestro (cfr. W alter Stoffel , Le séquestre, in: La LP révisée, Iynedjian/Rieben [éd.], CEDIDAC n. 35, Losanna 1997, p. 294-295, ad B, con rif.) . La questione, che comunque rileva dalla competenza del giudice designato all’art. 109 LEF, può essere lasciata aperta. L’Ufficio di esecuzione è infatti tenuto a pignorare tutti i beni che non risultano incontestabilmente di proprietà di un terzo, in ogni caso quando il procedente li indica come appartenenti all’escusso (cfr. DTF 84 III 79 ss; 106 III 88-90; 110 III 26, c. 2; Foëx , op. cit., n. 57 ad art. 95; Gilliéron , Commentaire, n. 74 ad art. 106).Infatti, la decisione di non pignorare, riservata un’eventuale modifica da parte delle autorità di vigilanza adite con ricorso ex art. 17 ss. LEF, preclude al creditore la possibilità di far valere i propri diritti nell’unica procedura prevista a questo scopo, ossia quella degli art. 106 ss. LEF.</w:t>
      </w:r>
    </w:p>
    <w:p>
      <w:r>
        <w:rPr>
          <w:b/>
        </w:rPr>
        <w:t>E. 4.2</w:t>
      </w:r>
    </w:p>
    <w:p>
      <w:r>
        <w:t>In casu, i ricorrenti chiedono il pignoramento del credito di __________ contro la __________ relativamente ai conti enumerati nei decreti di sequestro e la titolarità apparente della società panamense non appare indiscutibile. Infatti, non solo i decreti di sequestro sono rimasti inimpugnati, ma dagli atti risulta che __________ è il cosiddetto “avente diritto economico” del conto (cfr. formulario A relativo al conto sequestrato n. __________), che la società è domiciliata presso la sede __________ della __________ e che il conto è stato sequestrato penalmente nell’ambito di una procedura avviata contro l’escusso. Visti i legittimi dubbi che l’escusso faccia abusivamente uso della società panamense per nascondere i propri attivi, occorre che l’UE di Lugano pignori i conti come se fossero dell’escusso, ritenuto comunque che di fronte alla precisa contestazione dell’applicabilità della teoria della trasparenza (“Durchgriff”) al caso di specie, l’UE di Lugano dovrà menzionarla nel verbale di pignoramento e fissare ai procedenti il termine di cui agli art. 106 ss. LEF.</w:t>
      </w:r>
    </w:p>
    <w:p>
      <w:r>
        <w:rPr>
          <w:b/>
        </w:rPr>
        <w:t>E. 5</w:t>
      </w:r>
    </w:p>
    <w:p>
      <w:r>
        <w:t>La resistente fa valere che debitrice nella relazione bancaria relativa ai conti sequestrati è la __________ succursale dotata d’indipendenza e con sede all’estero, di modo che i conti in questione non potrebbero essere pignorati presso la sede di __________. A torto. Essendo il vero creditore – a prescindere dalla costruzione giuridica apparentemente abusiva facente capo alla società __________ – domiciliato in Svizzera, il credito, il cui importo non è peraltro contestato, può essere pignorato dall’UE di Lugano, senza preoccuparsi, a questo stadio della procedura, dell’identità del debitore. Se la __________, sede di __________, dovesse poi rifiutare di versare l’importo dei conti sequestrati sul conto dell’Ufficio, il credito, una volta risolta la questione della rivendicazione, potrà se del caso essere assegnato ai procedenti alle condizioni dell’art. 131 LEF.</w:t>
      </w:r>
    </w:p>
    <w:p>
      <w:r>
        <w:rPr>
          <w:b/>
        </w:rPr>
        <w:t>E. 6</w:t>
      </w:r>
    </w:p>
    <w:p>
      <w:r>
        <w:t>A titolo abbondanziale, va rilevato che, secondo le stesse affermazioni della resistente, nonché dal proprio organigramma prodotto dai ricorrenti, appare che la sede di __________ sia una succursale della __________ e non una filiale. Orbene, contrariamente a quest’ultima, la succursale non dispone di una personalità giuridica propria ma solo di un'indipendenza economica (cfr. Roland Ruedin , Droit des sociétés, Berna 1999, n. 2228) irrilevante dal punto di vista giuridico. Debitrice dei conti sequestrati appare quindi essere la __________, con sede principale a __________. In virtù della giurisprudenza del Tribunale federale (cfr. BlSchK 2000, p. 142 ss.) e zurighese (cfr. P eter Breitschmid , Übersicht zur Arrestwilligungspraxis nach revidiertem SchKG, AJP 1999, p. 1011-1012 ad 2.2.2), possono essere sequestrate presso la sede principale, e quindi pignorate, tutte le relazioni ovunque siano registrate.</w:t>
      </w:r>
    </w:p>
    <w:p>
      <w:r>
        <w:rPr>
          <w:b/>
        </w:rPr>
        <w:t>E. 7</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46, 95 cpv. 3, 108 e 131 LEF, 2 CC, nonché 61 e 62 OTLEF, pronuncia: 1. Il ricorso 27 novembre 2000 del Comune di __________ è accolto. 1.1. Di conseguenza, è ordinato all’Ufficio di esecuzione di Lugano il pignoramento del credito relativo ai conti n. __________, __________ __________ intestati alla __________ __________ 2. Il ricorso 27 novembre 2000 dello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