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15.2000.00170 vom 8. Januar 2001</w:t>
      </w:r>
    </w:p>
    <w:p>
      <w:r>
        <w:t>TI Tribunale d'appello, 2001-01-08, IT</w:t>
      </w:r>
    </w:p>
    <w:p>
      <w:r>
        <w:rPr>
          <w:b/>
        </w:rPr>
        <w:t xml:space="preserve">Quelle: </w:t>
      </w:r>
      <w:r>
        <w:t>https://mcp.opencaselaw.ch/entscheid/ti_gerichte_15.2000.00170</w:t>
      </w:r>
    </w:p>
    <w:p>
      <w:r>
        <w:t>FR: TI_GERICHTE 15.2000.00170 du 8 janvier 2001</w:t>
      </w:r>
    </w:p>
    <w:p>
      <w:r>
        <w:t>IT: TI_GERICHTE 15.2000.00170 del 8 gennaio 2001</w:t>
      </w:r>
    </w:p>
    <w:p>
      <w:pPr>
        <w:pStyle w:val="Heading2"/>
      </w:pPr>
      <w:r>
        <w:t>Regeste</w:t>
      </w:r>
    </w:p>
    <w:p>
      <w:r>
        <w:t>Sentenza o decisione senza scheda</w:t>
      </w:r>
    </w:p>
    <w:p>
      <w:pPr>
        <w:pStyle w:val="Heading2"/>
      </w:pPr>
      <w:r>
        <w:t>Erwägungen</w:t>
      </w:r>
    </w:p>
    <w:p>
      <w:r>
        <w:rPr>
          <w:b/>
        </w:rPr>
        <w:t>E. 1</w:t>
      </w:r>
    </w:p>
    <w:p>
      <w:r>
        <w:t>I ricorsi 6 novembre 2000 dei coniugi ________, quand’anche formalmente contenuti in un atto unico, concernono due esecuzioni diverse. Essi sono tuttavia entrambi diretti contro l’operato dell’UEF __________ nell’ambito di procedure parallele promosse dal creditore stesso. I gravami si basano sul medesimo complesso di fatti e sono motivati allo stesso modo. Di conseguenza si giustifica la congiunzione delle due procedure.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w:t>
      </w:r>
    </w:p>
    <w:p>
      <w:r>
        <w:rPr>
          <w:b/>
        </w:rPr>
        <w:t>E. 1.1</w:t>
      </w:r>
    </w:p>
    <w:p>
      <w:r>
        <w:t>L’Ufficio ___________________ annullerà il pignoramento delle quote di comproprietà intestate a __________ ______ __________ ____ sui mappali n. __________ e __________ RFD di __________ _____ e consentirà alla radiazione delle relative restrizioni della facoltà di disporre a condizione che venga depositato l’importo di fr. 124'983,65 o prestata una garanzia bancaria di un importo equivalente, in conformità dei considerandi 3.3 a 3.4 che precedono. 2. Il ricorso 6 novembre 2000____, _______, è parzialmente accolto.</w:t>
      </w:r>
    </w:p>
    <w:p>
      <w:r>
        <w:rPr>
          <w:b/>
        </w:rPr>
        <w:t>E. 2</w:t>
      </w:r>
    </w:p>
    <w:p>
      <w:r>
        <w:t>A titolo principale, i ricorrenti fondano la loro richiesta di svincolo delle particelle __________ e __________ RFD di __________ _____ sul fatto che gli altri immobili pignorati basterebbero a coprire il credito posto in esecuzione.</w:t>
      </w:r>
    </w:p>
    <w:p>
      <w:r>
        <w:rPr>
          <w:b/>
        </w:rPr>
        <w:t>E. 2.1</w:t>
      </w:r>
    </w:p>
    <w:p>
      <w:r>
        <w:t>L’Ufficio ____________ annullerà il pignoramento delle quote di comproprietà intestate a __________ ____ __________ ____ sui mappali n. __________ e __________ RFD di __________ _____ e consentirà alla radiazione delle relative restrizioni della facoltà di disporre a condizione che venga depositato l’importo di fr. 125'016,35 o prestata una garanzia bancaria di un importo equivalente, in conformità dei considerandi 3.3 a 3.4 che precedono. 3. L’UEF __________ si conformerà alle indicazioni di cui ai considerandi 2.4 e 2.5 in occasione del riesame della stima imposto dall’art. 140 cpv. 3 LEF.</w:t>
      </w:r>
    </w:p>
    <w:p>
      <w:r>
        <w:rPr>
          <w:b/>
        </w:rPr>
        <w:t>E. 2.2</w:t>
      </w:r>
    </w:p>
    <w:p>
      <w:r>
        <w:t>Il Tribunale federale ha tuttavia giudicato che se, in base all’esito della procedura di rivendicazione, appare che il valore degli oggetti pignorati supera notevolmente quanto è necessario ai sensi dell’art. 97 cpv. 2 LEF, l’escusso può chiedere che il pignoramento sia ridotto, nell’ossequio dell’ordine prescritto all’art. 95 LEF ( DTF 68 III 69 ss.). La richiesta di svincolo dei ricorrenti è quindi ricevibile.</w:t>
      </w:r>
    </w:p>
    <w:p>
      <w:r>
        <w:rPr>
          <w:b/>
        </w:rPr>
        <w:t>E. 2.3</w:t>
      </w:r>
    </w:p>
    <w:p>
      <w:r>
        <w:t>Sulla falsariga della garanzia ex art. 273 LEF, l’UEF ________ ha apparentemente calcolato l’importo di fr. 250'000.-- che esso esige per consentire allo svincolo richiesto, tenendo conto degli interessi che matureranno durante la causa di disconoscimento di debito supposta durare 10 anni nonché delle spese giudiziarie di questa causa. A torto. Il pignoramento provvisorio deve essere eseguito per l’ammontare indicato nel precetto esecutivo e per il quale il rigetto provvisorio è stato concesso (cfr. Pierre-Robert Gilliéron , Commentaire de la LP, vol. I, Losanna 1999, n. 23 ad art. 83). In casu, come rettamente evidenziato dai ricorrenti, il credito __________ per quanto concerne le esecuzioni in esame, non comprende interessi, dato che non sono stati richiesti nell’istanza di rigetto (cfr. CEF [14.97.9, risp. 14.97.8] 30 ottobre 1997, cons. 2d i.f.). Esso ammonta quindi a fr. 152'495.--, oltre fr. 320.-- di spese di pignoramento, nell’esecuzione contro ________, risp. a fr. 152’515..--, oltre fr. 340.-- di spese di pignoramento, nell’esecuzione contro __________ ____ __________ ____ (cfr. verbali di pignoramento, rimasti inimpugnati). Le spese e le ripetibili della procedura di disconoscimento di debito, al contrario di quelle della procedura di rigetto dell’opposizione, non possono essere aggiunte all’importo posto in esecuzione (cfr. Gilliéron , op. cit., n. 99 ad art. 83; Daniel Staehelin , Basler Kommentar zum SchKG, Basilea/Ginevra/ Monaco 1998, vol. I, n. 69 ad art. 83).</w:t>
      </w:r>
    </w:p>
    <w:p>
      <w:r>
        <w:rPr>
          <w:b/>
        </w:rPr>
        <w:t>E. 2.4</w:t>
      </w:r>
    </w:p>
    <w:p>
      <w:r>
        <w:t>Il pignoramento della particella n. __________ RFD di __________ _____, il cui valore di stima è, secondo l’UEF, di fr. 360'510.--, risulta dunque già sufficiente ai sensi dell’art. 97 cpv. 2 LEF. Gli altri fondi pignorati appaiono, a registro, gravati da pegno per un ammontare superiore al valore di stima dell’UEF; le allegazioni in senso contrario dei ricorrenti non sono state provate. Sarebbe quindi sembrato giustificato limitare il pignoramento, in ognuna delle esecuzioni, alla quota di comproprietà gravante la particella n. __________ RFD di __________ _____. I ricorrenti non fanno però valere un fatto nuovo giustificante una revisione dei pignoramenti, rimasti inimpugnati. La loro richiesta va quindi respinta su questo punto.</w:t>
      </w:r>
    </w:p>
    <w:p>
      <w:r>
        <w:rPr>
          <w:b/>
        </w:rPr>
        <w:t>E. 2.5</w:t>
      </w:r>
    </w:p>
    <w:p>
      <w:r>
        <w:t>Giova infine precisare che, qualora la situazione si rivelasse mutata dopo la procedura di insinuazione nell’elenco oneri (cfr. art. 138 LEF), risp. dopo la procedura di appuramento di quest’elenco (cfr. art. 140 LEF) o dopo un’eventuale revisione della stima (cfr. art. 140 cpv. 3 LEF e 44 RFF), l’UEF _________ dovrà procedere alla modifica dei pignoramenti in corso, nell’ossequio del principio di conciliazione degli interessi degli escussi e del procedente statuito all’art. 95 cpv. 5 LEF. Alle stesse condizioni, rimane ovviamente sempre la possibilità per i ricorrenti di chiedere una simile modifica.</w:t>
      </w:r>
    </w:p>
    <w:p>
      <w:r>
        <w:rPr>
          <w:b/>
        </w:rPr>
        <w:t>E. 3</w:t>
      </w:r>
    </w:p>
    <w:p>
      <w:r>
        <w:t>A titolo subordinato, gli escussi chiedono lo svincolo delle particelle __________ e __________ RFD di _____ dietro prestazione di una garanzia bancaria di fr. 150'000.--. Con la decisione impugnata, l’UEF ________ha ammesso la richiesta, fondandosi sull’art. 277 LEF, alla condizione che la garanzia ammontasse a fr. 250'000.--.</w:t>
      </w:r>
    </w:p>
    <w:p>
      <w:r>
        <w:rPr>
          <w:b/>
        </w:rPr>
        <w:t>E. 3.1</w:t>
      </w:r>
    </w:p>
    <w:p>
      <w:r>
        <w:t>Così come risulta chiaramente dalla sistematica della legge, la norma dell’art. 277 LEF, che consente al debitore sequestrato di riottenere la disposizione dei beni sequestrati dietro la prestazione di una garanzia, disciplina unicamente la procedura di sequestro e non trova applicazione in materia di esecuzione ordinaria o in realizzazione di pegno.</w:t>
      </w:r>
    </w:p>
    <w:p>
      <w:r>
        <w:rPr>
          <w:b/>
        </w:rPr>
        <w:t>E. 3.2</w:t>
      </w:r>
    </w:p>
    <w:p>
      <w:r>
        <w:t>È invece ammissibile modificare un pignoramento esistente, sostituendo il diritto patrimoniale pignorato con un altro diritto, alla condizione che il valore di stima dell’oggetto di sostituzione sia sufficiente a coprire interamente tutti i crediti del gruppo considerato e che il nuovo pignoramento rispetti l’ordine stabilito all’art. 95 LEF, salvo circostanze particolari o accordo diverso tra l’escusso e tutti i creditori del gruppo (cfr. art. 95 cpv. 4bis LEF).</w:t>
      </w:r>
    </w:p>
    <w:p>
      <w:r>
        <w:rPr>
          <w:b/>
        </w:rPr>
        <w:t>E. 3.3</w:t>
      </w:r>
    </w:p>
    <w:p>
      <w:r>
        <w:t>Nel caso di specie, lo svincolo delle particelle n. __________ e __________ RFD di __________ potrà avvenire solo qualora gli escussi consegnino all’UEF __________ un oggetto di sostituzione, più facilmente realizzabile, ai sensi dell’art. 95 LEF, delle quote di comproprietà, il cui valore basti a coprire il credito del procedente, equivalente a fr. 152'495.--, oltre fr. 320.--, per quanto concerne l’esecuzione contro __________ ______ __________ ____, risp. a fr. 152’515.--, oltre fr. 340.-- in quella contro __________ ____ __________ ____ (cfr. sopra cons. 2.3). Quale oggetto di sostituzione è ovviamente ipotizzabile un deposito di queste somme in contanti sul conto dell’UEF _________. È anche ammissibile la prestazione di una garanzia bancaria emessa da un Istituto di credito svizzero di primaria importanza, a condizione che esso si impegni a versare all’UEF _________, a prima domanda e senza poter opporre eccezioni tratte dai rapporti interni con gli escussi, le somme al pagamento delle quali gli escussi dovessero essere condannati nella procedura di disconoscimento di debito, in virtù di una sentenza cresciuta in giudicato.</w:t>
      </w:r>
    </w:p>
    <w:p>
      <w:r>
        <w:rPr>
          <w:b/>
        </w:rPr>
        <w:t>E. 3.4</w:t>
      </w:r>
    </w:p>
    <w:p>
      <w:r>
        <w:t>In ogni ipotesi, l’UEF __________ consentirà allo svincolo della particelle n. __________ e __________ RFD di __________ _____, alle suddette condizioni, unicamente mediante provvedimento, notificata anche al procedente.</w:t>
      </w:r>
    </w:p>
    <w:p>
      <w:r>
        <w:rPr>
          <w:b/>
        </w:rPr>
        <w:t>E. 3.5</w:t>
      </w:r>
    </w:p>
    <w:p>
      <w:r>
        <w:t>Contrariamente a quanto sembrano sostenere i ricorrenti, occorre osservare che, quand’anche il credito fatto valere __________ ____ è uno e solo, egli ha ottenuto, in base al nesso di solidarietà tra gli escussi, da loro non contestato, la possibilità di procedere per l’intero credito contro ognuno dei coniugi. Una limitazione dei dividendi interverrà quindi eventualmente solo nella fase della distribuzione. Infatti, è ipotizzabile che le due cause di disconoscimento di debito possano avere un esito diverso l’una dell’altra, di modo che, a tutela degli interessi del creditore, deve essere pignorato quanto necessario per coprire interamente ogni credito. Sarebbe quindi stato giusto svincolare i fondi a condizione che venissero depositati i due importi stabiliti nelle sentenze di rigetto (cfr. sopra cons. 2.3) oppure fornite due garanzie bancarie di ammontare equivalente. Vigente però il divieto della reformatio in peius (art. 22 LPR), la decisione dell’UEF ________ deve essere confermata per quanto riguarda l’importo complessivo (fr. 250'000.--), che va però ripartito tra le due esecuzioni in proporzione degli importi figuranti nel verbale di pignoramento (fr. 152'495 + 320, risp. fr. 152'515 + 340), ossia fr. 124'983,65 nell’esecuzione contro __________ ______ __________ ____ e fr. 125'016,35 in quella contro __________ ____ __________ ____.</w:t>
      </w:r>
    </w:p>
    <w:p>
      <w:r>
        <w:rPr>
          <w:b/>
        </w:rPr>
        <w:t>E. 4</w:t>
      </w:r>
    </w:p>
    <w:p>
      <w:r>
        <w:t>Non si prelevano spese, né si assegnano indennità.</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____________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