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15.1999.70 vom 27. Dezember 1999</w:t>
      </w:r>
    </w:p>
    <w:p>
      <w:r>
        <w:t>TI Tribunale d'appello, 1999-12-27, IT</w:t>
      </w:r>
    </w:p>
    <w:p>
      <w:r>
        <w:rPr>
          <w:b/>
        </w:rPr>
        <w:t xml:space="preserve">Quelle: </w:t>
      </w:r>
      <w:r>
        <w:t>https://mcp.opencaselaw.ch/entscheid/ti_gerichte_15.1999.70</w:t>
      </w:r>
    </w:p>
    <w:p>
      <w:r>
        <w:t>FR: TI_GERICHTE 15.1999.70 du 27 décembre 1999</w:t>
      </w:r>
    </w:p>
    <w:p>
      <w:r>
        <w:t>IT: TI_GERICHTE 15.1999.70 del 27 dicembre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Camera di esecuzione e fallimenti del Tribunale d'appello quale Autorità disciplinare è competente ex art. 11 LALEF a determinarsi sulle sanzioni disciplinari - previste dall'art. 14 cpv. 2 LEF - da infliggere ai funzionari e impiegati dell'Ufficio d'esecuzione e fallimenti nell'esercizio delle loro funzioni istituzionali. La misura disciplinare implica criteri di adeguatezza in stretto rapporto con l'organizzazione degli uffici di esecuzione e fallimenti, di competenza esclusiva dei Cantoni in conformità dell'art. 2 cpv. 5 LEF. Sugli aspetti procedurali, cfr. Flavio Cometta, Commentario alla LPR, Lugano 1998, n. 2.5 all'art.</w:t>
      </w:r>
    </w:p>
    <w:p>
      <w:r>
        <w:rPr>
          <w:b/>
        </w:rPr>
        <w:t>E. 3</w:t>
      </w:r>
    </w:p>
    <w:p>
      <w:r>
        <w:t>In concreto l'UEF di Mendrisio si è rettamente determinato sostituendo i cilindri dell'officina del fallito, non appena venuto a conoscenza del decreto di fallimento. Si tratta di una misura cautelare affatto appropriata nella fattispecie. Pure l'allestimento dell'inventario e l'interrogatorio del fallito sono atti dovuti dall'amministrazione fallimentare. Visto l'appello di __________ e il suo successivo accoglimento, l'ufficio ha giustamente soprasseduto alla pubblicazione della dichiarazione del fallimento. La pubblicazione cui fa riferimento il segnalante è quella ordinata dall'Ufficio dei registri di Mendrisio, riconducibile all'art. 64 ORC che non rientra nella sfera di competenza di questa Camera.</w:t>
      </w:r>
    </w:p>
    <w:p>
      <w:r>
        <w:rPr>
          <w:b/>
        </w:rPr>
        <w:t>E. 4</w:t>
      </w:r>
    </w:p>
    <w:p>
      <w:r>
        <w:t>Comunicazione a: -  __________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