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15.1999.40 vom 20. September 1999</w:t>
      </w:r>
    </w:p>
    <w:p>
      <w:r>
        <w:t>TI Tribunale d'appello, 1999-09-20, IT</w:t>
      </w:r>
    </w:p>
    <w:p>
      <w:r>
        <w:rPr>
          <w:b/>
        </w:rPr>
        <w:t xml:space="preserve">Quelle: </w:t>
      </w:r>
      <w:r>
        <w:t>https://mcp.opencaselaw.ch/entscheid/ti_gerichte_15.1999.40</w:t>
      </w:r>
    </w:p>
    <w:p>
      <w:r>
        <w:t>FR: TI_GERICHTE 15.1999.40 du 20 septembre 1999</w:t>
      </w:r>
    </w:p>
    <w:p>
      <w:r>
        <w:t>IT: TI_GERICHTE 15.1999.40 del 20 settembre 1999</w:t>
      </w:r>
    </w:p>
    <w:p>
      <w:pPr>
        <w:pStyle w:val="Heading2"/>
      </w:pPr>
      <w:r>
        <w:t>Erwägungen</w:t>
      </w:r>
    </w:p>
    <w:p>
      <w:r>
        <w:rPr>
          <w:b/>
        </w:rPr>
        <w:t>E. 2</w:t>
      </w:r>
    </w:p>
    <w:p>
      <w:r>
        <w:t>Per l’art. 108 cpv. 1 n. 3 LEF il debitore e il creditore possono promuovere nei confronti del terzo l’azione di contestazione della sua pretesa, quando questa riguarda un fondo, se la pretesa risulta dal registro fondiario o se si tratta di un diritto di pegno valido senza iscrizione (cfr. Amonn/Gasser, Grundriss des Schuldbetreibungs - und Konkursrechts, Berna 1997, § 28 n.34, p.237). L’ufficio di esecuzione impartisce loro un termine di venti giorni per promuovere l’azione (art. 108 cpv. 2 LEF). Se nessuna azione è promossa, la pretesa è ritenuta riconosciuta nell’esecuzione in atto (art. 108 cpv. 3 LEF).</w:t>
      </w:r>
    </w:p>
    <w:p>
      <w:r>
        <w:rPr>
          <w:b/>
        </w:rPr>
        <w:t>E. 2.1</w:t>
      </w:r>
    </w:p>
    <w:p>
      <w:r>
        <w:t>Non si prelevano spese, né si assegnano indennità.</w:t>
      </w:r>
    </w:p>
    <w:p>
      <w:r>
        <w:rPr>
          <w:b/>
        </w:rPr>
        <w:t>E. 2.2</w:t>
      </w:r>
    </w:p>
    <w:p>
      <w:r>
        <w:t>Contro questa decisione è dato ricorso entro dieci giorni alla Camera delle esecuzioni e dei fallimenti del Tribunale federale a Losanna, per il tramite della scrivente Camera di esecuzione e fallimenti del Tribunale d’appello, in conformità dell’art. 19 LEF. 3. Il ricorso 1° marzo 1999 __________, è respinto.</w:t>
      </w:r>
    </w:p>
    <w:p>
      <w:r>
        <w:rPr>
          <w:b/>
        </w:rPr>
        <w:t>E. 3</w:t>
      </w:r>
    </w:p>
    <w:p>
      <w:r>
        <w:t>Relativamente alla procedura di appuramento dell’ elenco degli oneri nell’ambito di un’ 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ricorso,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Das Schweizerische Zivilgesetzbuch, 11. ed., Zurigo 1995, p.824; Paul-Henri Steinauer , Les droits réels, Vol. III, 2. ed., Berna 1996, p.195, N. 2825, 2830d e riferimenti) - soltanto quando risulti manifesta l’assenza di una base legale che li ponga al beneficio di siffatta ipoteca. In caso di dubbio la loro iscrizione nell’elenco oneri non può invece essere rifiutata” [cfr. sentenza CEF 14 marzo 1997 su reclami di __________ e del __________ (inc.n.15.96.114 e n.15.96.118)].</w:t>
      </w:r>
    </w:p>
    <w:p>
      <w:r>
        <w:rPr>
          <w:b/>
        </w:rPr>
        <w:t>E. 3.1</w:t>
      </w:r>
    </w:p>
    <w:p>
      <w:r>
        <w:t>Non si prelevano spese, né si assegnano indennità.</w:t>
      </w:r>
    </w:p>
    <w:p>
      <w:r>
        <w:rPr>
          <w:b/>
        </w:rPr>
        <w:t>E. 3.2</w:t>
      </w:r>
    </w:p>
    <w:p>
      <w:r>
        <w:t>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La segretaria</w:t>
      </w:r>
    </w:p>
    <w:p>
      <w:r>
        <w:rPr>
          <w:b/>
        </w:rPr>
        <w:t>E. 4</w:t>
      </w:r>
    </w:p>
    <w:p>
      <w:r>
        <w:t>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 iscrizione nel registro fondiario ( unmittelbares gesetzliches Grundpfandrecht ), salvo contraria disposizione (ipoteca legale indiretta, ossia valida solo con iscrizione nel registro fondiario: mittelbares gesetzliches Grundpfandrecht ). Nel primo caso un’ eventuale iscrizione a registro fondiario ha valore dichiarativo, mentre nel secondo caso l’iscrizione assume carattere costitutivo per l’esistenza stessa dell’ipoteca legale (cfr. Steinauer , op.cit., p.197, N.2830d e riferimenti; sulla distinzione tra ipoteche legali dirette ed indirette cfr. anche Simonius/Sutter , Schweizerisches Immobilarsachenrecht, Vol. II, Basilea et. al, 1990, §8, p.227 ss; Hans Michael Riemer , Die beschränkten dinglichen Rechte, Grundriss des schweizerischen Sachenrechts, Vol. II, Berna 1986, p.93 ss).</w:t>
      </w:r>
    </w:p>
    <w:p>
      <w:r>
        <w:rPr>
          <w:b/>
        </w:rPr>
        <w:t>E. 5</w:t>
      </w:r>
    </w:p>
    <w:p>
      <w:r>
        <w:t>L’art.183 LAC riconosce al cpv.1 n.1 il beneficio dell’ipoteca legale ex art.836 CC “allo Stato e ai Comuni, sopra tutti gli immobili situati nel Cantone, per il pagamento di tutte le imposte cantonali e comunali che hanno una relazione particolare con l’immobile”. Tali ipoteche hanno tutte il medesimo ordine e prevalgono sugli altri pegni immobiliari (art.183 cpv.2 LAC). Per l’art.229 della Legge tributaria del 28 settembre 1976 (in seguito vLT, applicabile alle tassazioni riferite ai periodi fiscali antecedenti il 1° gennaio 1995 ex art.324 cpv.2 LT del 21 giugno 1994 in RL 10.2.1.1, in seguito LT1994) per il pagamento di tutte le imposte cantonali e comunali che hanno una relazione particolare con l’immobile è riconosciuta al Cantone e ai Comuni un’ipoteca legale secondo gli art.836 CC e 183 LAC.</w:t>
      </w:r>
    </w:p>
    <w:p>
      <w:r>
        <w:rPr>
          <w:b/>
        </w:rPr>
        <w:t>E. 6</w:t>
      </w:r>
    </w:p>
    <w:p>
      <w:r>
        <w:t>Nel caso di specie la __________ e il __________ contestano le pretese dello __________ e del __________ iscritte nell’elenco oneri della part. __________ RFD di __________. Tali crediti sono stati iscritti nell’elenco oneri come garantiti da ipoteca legale ex art. 836 CC e 183 LAC, quindi non soggetti ad iscrizione a Registro fondiario. In concreto l’UEF si è espresso - in via del tutto pregiudiziale e con riserva di diverso avviso da parte del giudice del merito - sulla natura delle pretese fiscali notificate dallo __________ e dal __________, ritenendo che le stesse costituiscano un onere per il fondo. L’esame definitivo della qualifica delle pretese fatte valere dallo __________ e dal __________ è tuttavia demandato al giudice del merito che se del caso si dovrà esprimere sull’esistenza e sul quantum della pretesa fiscale</w:t>
      </w:r>
    </w:p>
    <w:p>
      <w:r>
        <w:rPr>
          <w:b/>
        </w:rPr>
        <w:t>E. 7</w:t>
      </w:r>
    </w:p>
    <w:p>
      <w:r>
        <w:t>I crediti per imposte cantonali e comunali contestati dai ricorrenti (varianti da fr. 44’460.-- per il Cantone e da fr. 26’178.-- a fr. 40’292.85 per il __________) appaiono compresi nella normativa dedotta dai combinati art. 836 CC, 183 LAC e 229 vLT ( per le imposte fino al 1994 compreso), rispettivamente 252 LT (per le imposte per gli anni successivi): in particolare alla luce del fatto che la debitrice è una società a carattere immobiliare e tenuto conto di un valore di stima ufficiale dell’immobile di complessivi fr. 15’459’380.--, rispettivamente di fr. 18’600’000.-- di stima peritale (cfr. elenco oneri part. __________ RFD di __________), non appaiono neppure nel quantum sprovvisti del beneficio della garanzia dell’ipoteca legale diretta, riservato l’eventuale futuro accertamento del giudice del merito. Ne consegue che le pretese degli enti pubblici, contestate dai ricorrenti, non necessitando per la loro validità del requisito dell’iscrizione, non risultano a Registro fondiario. Malgrado ciò, la dottrina e la giurisprudenza prevedono che il ruolo di attore nell’azione di contestazione vada assegnato a colui che chiede la modificazione o la cancellazione del diritto o della pretesa contestata (cfr. art. 39 RFF; Amonn/Gasser, op. cit., § 28 n.34, p.237; DTF 112 III 29, 110 ss.). Pertanto il termine per promuovere l’azione di contestazione va assegnato ex art. 108 cpv. 2 LEF ai creditori __________ e __________, come correttamente stabilito dall'UEF di Locarno.</w:t>
      </w:r>
    </w:p>
    <w:p>
      <w:r>
        <w:rPr>
          <w:b/>
        </w:rPr>
        <w:t>E. 8</w:t>
      </w:r>
    </w:p>
    <w:p>
      <w:r>
        <w:t>Ne consegue la reiezione dei gravami Non si prelevano spese (art. 20a cpv. 1 primo periodo LEF, 61 cpv. 2 lett. a OTLEF) e non si assegnano indennità (art. 62 cpv. 2 OTLEF), perché così è disciplinato per normativa di diritto federale. Richiamati gli art. 108 e 140 LEF, 39 RFF pronuncia:            1. Le procedure di cui agli inc. 15.99.40 e 15.99.41, sono dichiarate congiunte. 2. Il ricorso 1° marzo 1999 __________, è respinto.</w:t>
      </w:r>
    </w:p>
    <w:p>
      <w:r>
        <w:rPr>
          <w:b/>
        </w:rPr>
        <w:t>E. 19</w:t>
      </w:r>
    </w:p>
    <w:p>
      <w:r>
        <w:t>LEF</w:t>
      </w:r>
    </w:p>
    <w:p>
      <w:r>
        <w:t>4.Intimazione a:</w:t>
      </w:r>
    </w:p>
    <w:p>
      <w:r>
        <w:t>- __________</w:t>
      </w:r>
    </w:p>
    <w:p>
      <w:r>
        <w:t>Comunicazione allUEF di Locarno</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