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15.1999.22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https://mcp.opencaselaw.ch/entscheid/ti_gerichte_15.1999.22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 casu il ricorrente in data 5 novembre 1998 ha stipulato con la __________ una cessione di credito avente per oggetto le pretese vantate dalla Banca nei confronti del fallito. I crediti erano garantiti da due cartelle ipotecarie del valore nominale di fr. 100’000.-- cadauna, gravanti in I e III rango la part. __________ RFD di __________. Tale cessione fu comunicata il giorno stesso via fax all’amministratore fallimentare speciale. Al momento dell’aggiudicazione __________ ha comunicato l’intenzione di porre in compensazione il credito di fr. 152’103.72 vantato nei confronti del fallito a seguito della citata cessione. Di conseguenza __________ ha richiesto in luogo dell’importo di fr. 50’000.-- in contanti, così come previsto al punto 10 delle condizioni d’incanto, unicamente fr. 7’000.-- a titolo di acconto spese di trapasso. Prescindendo dalla facoltà di __________ di effettuare il pagamento del prezzo di aggiudicazione mediante compensazione, resta da stabilire se egli sia tenuto o meno a versare l’importo di fr. 56’149.83 a favore della __________, atteso che, di tale importo non risulta traccia nell’elenco oneri depositato unitamente alle condizioni d’incanto della part. __________ RFD di __________.</w:t>
      </w:r>
    </w:p>
    <w:p>
      <w:r>
        <w:rPr>
          <w:b/>
        </w:rPr>
        <w:t>E. 3</w:t>
      </w:r>
    </w:p>
    <w:p>
      <w:r>
        <w:t>Il creditore che contesta il credito o il grado di un altro creditore, deve promuovere l’azione contro l’interessato. Se la domanda è ammessa, il riparto destinato secondo lo stato di ripartizione al convenuto serve al soddisfacimento dell’attore fino a concorrenza del suo intero credito, comprese le spese processuali. L’eventuale eccedenza è ripartita secondo la graduatoria rettificata (art. 250 cpv. 2 LEF). Nella graduatoria devono essere menzionati i processi a cui essa ha dato luogo, come pure del modo come vennero liquidati (cfr. art. 64 cpv. 2 RUF). Ove la graduatoria venga modificata da una sentenza pronunciata in un processo d’impugnazione della stessa, non occorre che essa sia nuovamente depositata. Un eventuale nuovo deposito è nullo e non conferisce ai creditori il diritto d’impugnare nuovamente la graduatoria (cfr. DTF 108 III 23 ss.; Dieter Hierzholzer, Basler Kommentar zum SchKG, Basilea, Ginevra, Monaco 1998, n.83/84 ad art. 250 LEF; Amonn/Gasser, Grundriss des Schuldbetreibungs - und Konkurrechts, Berna 1997, § 46 n. 66, p. 375). Per l’art. 45 cpv.2 RFF l’elenco oneri, rettificato in conformità dei risultati di ricorsi o di cause, sarà annesso quale appendice alle condizioni d’incanto.</w:t>
      </w:r>
    </w:p>
    <w:p>
      <w:r>
        <w:rPr>
          <w:b/>
        </w:rPr>
        <w:t>E. 4</w:t>
      </w:r>
    </w:p>
    <w:p>
      <w:r>
        <w:t>Orbene, nel caso di specie le condizioni d’incanto sono state allestite sulla base dell’elenco oneri depositato il 26 maggio 1997, a seguito della causa di contestazione introdotta dalla __________ nei confronti del Comune di __________. Tale deposito, per i motivi esposti in precedenza, è nullo, in quanto l’amministratore fallimentare speciale avrebbe dovuto unicamente menzionare nella graduatoria, conformemente all’art. 64 cpv. 2 RUF, l’esito dell’azione di contestazione promossa dalla __________ e non semplicemente stralciare il credito dalla graduatoria e dall’elenco oneri, procedendo ad un nuovo deposito degli stessi. La nullità del provvedimento in questione ha quale conseguenza l’annullamento di tutti gli atti della liquidazione fallimentare compiuti a seguito del deposito della graduatoria e dell’elenco oneri del 26 maggio 1997. Si impone quindi l’annullamento dell’asta pubblica della part. __________ RFD di __________ con conseguente rettifica a Registro Fondiario (cfr. DTF 106 III 86), nonché l’annullamento dello stato di ripartizione impugnato. L’amministratore fallimentare speciale __________ dovrà quindi fissare una nuova asta pubblica allegando alle condizioni d’incanto l’elenco oneri della part. __________ rettificato con l’indicazione dell’esito del processo introdotto dalla __________ nei confronti del Comune di __________.</w:t>
      </w:r>
    </w:p>
    <w:p>
      <w:r>
        <w:rPr>
          <w:b/>
        </w:rPr>
        <w:t>E. 5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6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>
      <w:r>
        <w:rPr>
          <w:b/>
        </w:rPr>
        <w:t>E. 45</w:t>
      </w:r>
    </w:p>
    <w:p>
      <w:r>
        <w:t>cpv. 2 RFF, 64 cpv. 2 RUF</w:t>
      </w:r>
    </w:p>
    <w:p>
      <w:r>
        <w:t>pronuncia:            1.Il ricorso 1° febbraio 1999 di __________, è accolto nel senso dei considerandi.</w:t>
      </w:r>
    </w:p>
    <w:p>
      <w:r>
        <w:t>1.1.Di conseguenza lo stato di riparto provvisorio 26 gennaio 1999 è annullato.</w:t>
      </w:r>
    </w:p>
    <w:p>
      <w:r>
        <w:t>2.Lasta pubblica 9 novembre 1998 della part. __________ RFD di __________ è annullata.</w:t>
      </w:r>
    </w:p>
    <w:p>
      <w:r>
        <w:t>3.E fatto ordine allamministratore fallimentare speciale del fallimento __________, di determinarsi come al considerando 4. di questa sentenza.</w:t>
      </w:r>
    </w:p>
    <w:p>
      <w:r>
        <w:t>4.Non si prelevano spese, né si assegnano indennità.</w:t>
      </w:r>
    </w:p>
    <w:p>
      <w:r>
        <w:t>5.Contro questa decisione è dato ricorso entro dieci giorni alla Camera delle esecuzioni e dei fallimenti del Tribunale federale a Losanna, per il tramite della scrivente Camera di esecuzione e fallimenti del Tribunale dappello, in conformità dellart. 19 LEF.</w:t>
      </w:r>
    </w:p>
    <w:p>
      <w:r>
        <w:t>6.Intimazione a:</w:t>
      </w:r>
    </w:p>
    <w:p>
      <w:r>
        <w:t>-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