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15.1999.191 vom 7. Dezember 1999</w:t>
      </w:r>
    </w:p>
    <w:p>
      <w:r>
        <w:t>TI Tribunale d'appello, 1999-12-07, IT</w:t>
      </w:r>
    </w:p>
    <w:p>
      <w:r>
        <w:rPr>
          <w:b/>
        </w:rPr>
        <w:t xml:space="preserve">Quelle: </w:t>
      </w:r>
      <w:r>
        <w:t>https://mcp.opencaselaw.ch/entscheid/ti_gerichte_15.1999.191</w:t>
      </w:r>
    </w:p>
    <w:p>
      <w:r>
        <w:t>FR: TI_GERICHTE 15.1999.191 du 7 décembre 1999</w:t>
      </w:r>
    </w:p>
    <w:p>
      <w:r>
        <w:t>IT: TI_GERICHTE 15.1999.191 del 7 dicembre 1999</w:t>
      </w:r>
    </w:p>
    <w:p>
      <w:pPr>
        <w:pStyle w:val="Heading2"/>
      </w:pPr>
      <w:r>
        <w:t>Regeste</w:t>
      </w:r>
    </w:p>
    <w:p>
      <w:r>
        <w:t>Sentenza o decisione senza scheda</w:t>
      </w:r>
    </w:p>
    <w:p>
      <w:pPr>
        <w:pStyle w:val="Heading2"/>
      </w:pPr>
      <w:r>
        <w:t>Erwägungen</w:t>
      </w:r>
    </w:p>
    <w:p>
      <w:r>
        <w:rPr>
          <w:b/>
        </w:rPr>
        <w:t>E. 2</w:t>
      </w:r>
    </w:p>
    <w:p>
      <w:r>
        <w:t>L'UEF di Bellinzona ha affidato il 18 marzo 1997 alla fiduciaria __________ l'amministrazione dell'immobile sito sulla part. __________ RFD di __________ di proprietà di __________. L’UEF di Bellinzona ha delegato alla __________, in qualità di persona ausiliaria, lo svolgimento di mansioni che sarebbero di spettanza dell’Ufficio La __________ ha svolto un incarico pubblico in materia esecutiva alla stessa stregua dell’ufficio di esecuzione e fallimenti (DTF 104 III 3, 112 III 71). Dal profilo disciplinare la persona ausiliaria è sottoposta all’Autorità di vigilanza così come l’ufficio di esecuzione e fallimenti (cfr. Dominik Gasser, Basler Kommentar zum SchKG I, Basilea, Ginevra, Monaco 1998, n.27 ad art. 5 LEF; Amonn/Gasser, Grundriss des Schuldbetreibungs-und Konkursrechts, Berna 1997, § 5 n. 11, p. 32/33; DTF 112 III 71-72; art. 241 LEF e art. 14 cpv. 2 LEF). Legittimati a prendere provvedimenti nel senso dell'art.17 cpv. 1 LEF non sono solo gli organi tipici ivi menzionati ( ufficio d'esecuzione e ufficio dei fallimenti) bensì anche quelli atipici (persone fisiche e/o giuridiche, di regola di diritto privato, chiamate a svolgere funzioni pubbliche nell'ambito di un determinato procedimento esecutivo), pure soggetti al controllo dell'Autorità cantonale di vigilanza e alle norme tariffali previste dalla OTLEF ( Flavio Cometta, Commentario alla LPR, Lugano 1998, n. 2.3.1, p. 37; Cometta, Basler Kommentar zum SchKG I, Basilea, Ginevra, Monaco 1998, n.15 ad art. 17 LEF). Giusta l'art. 17 cpv. 2 LEF il ricorso deve essere presentato entro dieci giorni da quello in cui il ricorrente ebbe notizia del provvedimento.</w:t>
      </w:r>
    </w:p>
    <w:p>
      <w:r>
        <w:rPr>
          <w:b/>
        </w:rPr>
        <w:t>E. 3</w:t>
      </w:r>
    </w:p>
    <w:p>
      <w:r>
        <w:t>Orbene, nel caso di specie il rifiuto di aderire alla richiesta di __________ di occupare l'immobile situato al mappale __________ RFD di __________ è stato comunicato dalla __________ già il 16 luglio 1999. Tale rifiuto è stato ribadito il 27 luglio 1999. La decisione della __________, emanata in qualità di persona ausiliaria dell'UEF di Bellinzona, costituisce un provvedimento impugnabile ex art. 17 cpv. 1 LEF, di cui il ricorrente ha avuto conoscenza sin dal luglio 1999 (cfr. doc. 5,6 e 7). Ne consegue che il ricorso di __________, inoltrato soltanto il 20 ottobre 1999, è manifestamente tardivo. Il ricorrente chiede inoltre all'Ufficio di giustificare il proprio rifiuto di far capo all'assicurazione protezione giuridica dell'escusso nelle procedure di sfratto degli inquilini. Dagli atti risulta che già in data 13 ottobre e 3 novembre 1997 l'UEF di Bellinzona, in risposta alla lettera di cui al doc. 8, ha comunicato al debitore che l'assicurazione __________ non ha mai ricevuto alcuna autorizzazione ad occuparsi del procedimento giudiziario in materia di locazione nei confronti di __________ (conduttrice nell'abitazione del ricorrente). Quindi anche tale censura, oltre ad evidenziare il carattere defatigatorio del gravame, si rivela manifestamente tardiva.</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