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15.1999.176 vom 18. April 2000</w:t>
      </w:r>
    </w:p>
    <w:p>
      <w:r>
        <w:t>TI Tribunale d'appello, 2000-04-18, IT</w:t>
      </w:r>
    </w:p>
    <w:p>
      <w:r>
        <w:rPr>
          <w:b/>
        </w:rPr>
        <w:t xml:space="preserve">Quelle: </w:t>
      </w:r>
      <w:r>
        <w:t>https://mcp.opencaselaw.ch/entscheid/ti_gerichte_15.1999.176</w:t>
      </w:r>
    </w:p>
    <w:p>
      <w:r>
        <w:t>FR: TI_GERICHTE 15.1999.176 du 18 avril 2000</w:t>
      </w:r>
    </w:p>
    <w:p>
      <w:r>
        <w:t>IT: TI_GERICHTE 15.1999.176 del 18 aprile 2000</w:t>
      </w:r>
    </w:p>
    <w:p>
      <w:pPr>
        <w:pStyle w:val="Heading2"/>
      </w:pPr>
      <w:r>
        <w:t>Regeste</w:t>
      </w:r>
    </w:p>
    <w:p>
      <w:r>
        <w:t>Sentenza o decisione senza scheda</w:t>
      </w:r>
    </w:p>
    <w:p>
      <w:pPr>
        <w:pStyle w:val="Heading2"/>
      </w:pPr>
      <w:r>
        <w:t>Erwägungen</w:t>
      </w:r>
    </w:p>
    <w:p>
      <w:r>
        <w:rPr>
          <w:b/>
        </w:rPr>
        <w:t>E. 2</w:t>
      </w:r>
    </w:p>
    <w:p>
      <w:r>
        <w:t>Nel caso in cui sia il debitore che il suo coniuge dispongono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(Amonn/Gasser, Grundriss des Schuldbetreibungs - und Konkursrechts, Berna 1997, § 23 n.66, p. 178/179). Ne consegue che la decisione dell’UE di Lugano di considerare il reddito della moglie nel calcolo dell’eccedenza pignorabile è corretta.</w:t>
      </w:r>
    </w:p>
    <w:p>
      <w:r>
        <w:rPr>
          <w:b/>
        </w:rPr>
        <w:t>E. 3</w:t>
      </w:r>
    </w:p>
    <w:p>
      <w:r>
        <w:t>Il ricorrente sostiene che l’importo mensile a titolo di alimenti, nel determinare l’eccedenza pignorabile, vada sottratto dalla quota del minimo di esistenza a carico dell’escusso. Orbene, il Tribunale federale ha stabilito che appare adeguato, nel determinare la quota pignorabile, dedurre dal reddito netto dell’escusso il contributo alimentare che il debitore deve versare ad un figlio nato da un matrimonio precedente (cfr. DTF 116 III 80/81). Nel caso in esame l’UE di Lugano ha accertato che il debitore è tenuto a corrispondere l’importo mensile di fr. 1'874.85 quale contributo alimentare per i due figli minorenni. Risulta altresì che tale importo è stato effettivamente versato per il mese di ottobre 1999 nella misura di fr. 1'834.— (cfr. lettera 5 ottobre 1999 Servizio ricuperi e anticipi alimenti/UE di Lugano).</w:t>
      </w:r>
    </w:p>
    <w:p>
      <w:r>
        <w:rPr>
          <w:b/>
        </w:rPr>
        <w:t>E. 4</w:t>
      </w:r>
    </w:p>
    <w:p>
      <w:r>
        <w:t>Il ricorrente ha preteso ed ottenuto il riconoscimento dell’importo mensile di fr.83350 a titolo di premi della cassa malati. Orbene, dai certificati della cassa malati __________ e __________ prodotti dal ricorrente si evince che l’importo riconosciuto dall’UE di Lugano risulta comprensivo delle prestazioni secondo la LCA. Considerato che quale assicurazione malattia può essere riconosciuta unicamente l’assicurazione obbligatoria, l’importo in questione deve essere ridotto a fr. 484.90. Di conseguenza sulla scorta delle considerazioni precedenti il calcolo dell’eccedenza pignorabile a carico dell’escusso si presenta come segue: Guadagno:   debitore            fr. 2’466 (4’300.--/1'834.--)      (40%) coniuge            fr. 3’612.20           (60%) fr. 6'078.20 Minimo di esistenza: importi di base                      fr. 1’370.— figli minorenni                        fr.    400.-- locazione                                fr. 1’200.-- riscaldamento                        fr. 150.-- cassa malati                          fr.    484.90 pasti fuori dom.                      fr.    180.-- trasferte                                  fr. 250.-- totale                                       fr. 4’034.90             fr. 1'614.--  (40%)</w:t>
      </w:r>
    </w:p>
    <w:p>
      <w:r>
        <w:rPr>
          <w:b/>
        </w:rPr>
        <w:t>E. 5</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6</w:t>
      </w:r>
    </w:p>
    <w:p>
      <w:r>
        <w:t>Intimazione a: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