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15.1999.16 vom 5. Oktober 1999</w:t>
      </w:r>
    </w:p>
    <w:p>
      <w:r>
        <w:t>TI Tribunale d'appello, 1999-10-05, IT</w:t>
      </w:r>
    </w:p>
    <w:p>
      <w:r>
        <w:rPr>
          <w:b/>
        </w:rPr>
        <w:t xml:space="preserve">Quelle: </w:t>
      </w:r>
      <w:r>
        <w:t>https://mcp.opencaselaw.ch/entscheid/ti_gerichte_15.1999.16</w:t>
      </w:r>
    </w:p>
    <w:p>
      <w:r>
        <w:t>FR: TI_GERICHTE 15.1999.16 du 5 octobre 1999</w:t>
      </w:r>
    </w:p>
    <w:p>
      <w:r>
        <w:t>IT: TI_GERICHTE 15.1999.16 del 5 ottobre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LCAP, l’art. 24 LCAP stabilisce a favore della __________ sia un diritto di prelazione sui fondi acquistati con il suo aiuto, sia un diritto di compera. Per garantire il rispetto di tali diritti l’art. 24 cpv. 4 LCAP prevede la menzione a Registro fondiario di una limitazione di diritto pubblico della proprietà</w:t>
      </w:r>
    </w:p>
    <w:p>
      <w:r>
        <w:rPr>
          <w:b/>
        </w:rPr>
        <w:t>E. 2.1</w:t>
      </w:r>
    </w:p>
    <w:p>
      <w:r>
        <w:t>E’ fatto ordine all’UEF di Locarno di depennare dall’elenco oneri e dalle condizioni d’incanto della part. __________ RFD di __________ le seguenti clausole: “ 1. L’immobile in questione è sommesso alla Legge federale che promuove la costruzione d’abitazione e l’accesso alla loro proprietà del 4 ottobre 1974 (WEG, RS 843) e alla sua ordinanza d’applicazione (VWEG, RS 843.1). Vi rinviamo particolarmente agli articoli 18 e 18a della WEG. 2. Il trasferimento di proprietà di un immobile finanziato con l’aiuto federale è solo possibile con l’approvazione dell’__________. La detta autorizzazione è rilasciata se l’acquirente s’impegna a riprendere il contratto di diritto pubblico previsto dalla WEG e il debito sulle anticipazioni decorse, versate a titolo di riduzione di base, come a rispettare il piano degli oneri e pigioni. 3. Subito dopo l’aggiudicazione, l’acquirente deve rimettere all’autorità di esecuzione e fallimento una dichiarazione scritta secondo l’articolo 18a cpv.1 WEG nella quale s’impegna a riprendere il contratto di diritto pubblico previsto dalla WEG. 4. L’autorità di esecuzione e fallimento concede all’acquirente un termine di 30 giorni per ottenere l’approvazione dell’__________.</w:t>
      </w:r>
    </w:p>
    <w:p>
      <w:r>
        <w:rPr>
          <w:b/>
        </w:rPr>
        <w:t>E. 3</w:t>
      </w:r>
    </w:p>
    <w:p>
      <w:r>
        <w:t>In caso di attribuzione giudiziaria si applica per analogia il capoverso 1.</w:t>
      </w:r>
    </w:p>
    <w:p>
      <w:r>
        <w:rPr>
          <w:b/>
        </w:rPr>
        <w:t>E. 4</w:t>
      </w:r>
    </w:p>
    <w:p>
      <w:r>
        <w:t>Nel caso in esame il credito dell’__________ risulta iscritto sulla part. __________ RFD di __________ come garantito da ipoteca convenzionale in III grado. Sul fondo risulta altresì menzionata una restrizione di diritto pubblico a favore della __________ a tutela del diritto di prelazione e di compera di cui all’art. 46 cpv. 2 LCAP. Le clausole contenute nell’elenco oneri e nelle condizioni d’incanto della part. __________ RFD di __________ e fondate sugli art. 18 e 18a OLCAP conferiscono di fatto alla __________ un privilegio che la LCAP non prevede e che oltrepassa il tenore dell’art. 37 cpv. 1 LCAP. Pertanto, avendo la giurisprudenza stabilito la nullità degli art. 18 e 18a OLCAP, le clausole contenute nell’elenco oneri e nelle condizioni d’incanto costruite su tali norme, vanno stralciate da questi atti.</w:t>
      </w:r>
    </w:p>
    <w:p>
      <w:r>
        <w:rPr>
          <w:b/>
        </w:rPr>
        <w:t>E. 5</w:t>
      </w:r>
    </w:p>
    <w:p>
      <w:r>
        <w:t>Se l’acquirente non agisce nel detto termine o se l’approvazione è rifiutata all’aggiudicatario con una decisione entrata in forza, l’autorità di esecuzione e fallimento, d’intesa con l’__________, constata e pronuncia la nullità dell’aggiudicazione e ordina una nuova messa agli incanti.</w:t>
      </w:r>
    </w:p>
    <w:p>
      <w:r>
        <w:rPr>
          <w:b/>
        </w:rPr>
        <w:t>E. 6</w:t>
      </w:r>
    </w:p>
    <w:p>
      <w:r>
        <w:t>Se il prezzo di vendita non copre le anticipazioni in capitale e interessi versate dalla __________, l’aggiudicatario può rimborsare in una volta l’importo totale delle dette anticipazioni o procedere a questo rimborso seguendo il piano degli oneri dell’immobile.” 3. Non si prelevano spese, né si assegnano indennità. 4. Contro queste decisioni è dato ricorso entro dieci giorni alla Camera delle esecuzioni e dei fallimenti del Tribunale federale a Losanna, per il tramite della scrivente Camera di esecuzione e fallimenti del Tribunale d’appello, in conformità dell’art. 19 LEF. 5.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