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15.1999.1 vom 15. April 1999</w:t>
      </w:r>
    </w:p>
    <w:p>
      <w:r>
        <w:t>TI Tribunale d'appello, 1999-04-15, IT</w:t>
      </w:r>
    </w:p>
    <w:p>
      <w:r>
        <w:rPr>
          <w:b/>
        </w:rPr>
        <w:t xml:space="preserve">Quelle: </w:t>
      </w:r>
      <w:r>
        <w:t>https://mcp.opencaselaw.ch/entscheid/ti_gerichte_15.1999.1</w:t>
      </w:r>
    </w:p>
    <w:p>
      <w:r>
        <w:t>FR: TI_GERICHTE 15.1999.1 du 15 avril 1999</w:t>
      </w:r>
    </w:p>
    <w:p>
      <w:r>
        <w:t>IT: TI_GERICHTE 15.1999.1 del 15 aprile 1999</w:t>
      </w:r>
    </w:p>
    <w:p>
      <w:pPr>
        <w:pStyle w:val="Heading2"/>
      </w:pPr>
      <w:r>
        <w:t>Regeste</w:t>
      </w:r>
    </w:p>
    <w:p>
      <w:r>
        <w:t>Sentenza o decisione senza scheda</w:t>
      </w:r>
    </w:p>
    <w:p>
      <w:pPr>
        <w:pStyle w:val="Heading2"/>
      </w:pPr>
      <w:r>
        <w:t>Erwägungen</w:t>
      </w:r>
    </w:p>
    <w:p>
      <w:r>
        <w:rPr>
          <w:b/>
        </w:rPr>
        <w:t>E. 2</w:t>
      </w:r>
    </w:p>
    <w:p>
      <w:r>
        <w:t>Nel caso in cui sia il debitore che il suo coniuge dispone di un reddito, occorre tenere conto dell’art. 163 CC, secondo il quale i coniugi provvedono in comune, ciascuno nella misura delle sue forze, al mantenimento della famiglia. La Camera delle esecuzioni e dei fallimenti del Tribunale federale nelle DTF 116 III 78 e 114 III 15 ha stabilito che per calcolare la quota di reddito pignorabile occorre, in primo luogo, determinare il reddito di ambedue i coniugi e il loro minimo vitale comune; poi, ripartire tra di essi il minimo vitale ottenuto in relazione con il reddito netto. La quota pignorabile del reddito del coniuge escusso risulta sottraendo la sua parte del minimo vitale dal suo reddito determinante (Amonn/Gasser, Grundriss des Schuldbetreibungs - und Konkursrechts, Berna 1997, § 23 n.66, p. 178/179). Per il calcolo del minimo vitale entrano in considerazione solo gli importi effettivamente pagati (cfr. DTF 109 III 56, Georges Vonder Mühll in: Basler Kommentar zum SchKG, Vol. II, 1998, n. 25 ad art. 93 LEF)</w:t>
      </w:r>
    </w:p>
    <w:p>
      <w:r>
        <w:rPr>
          <w:b/>
        </w:rPr>
        <w:t>E. 3</w:t>
      </w:r>
    </w:p>
    <w:p>
      <w:r>
        <w:t>E’ principio giurisprudenziale e dottrinale indiscusso che le spese fisse e correnti connesse all’uso di un’automobile rientrano nel minimo di esistenza del debitore solo se il veicolo viene dichiarato impignorabile ex art. 92 n. 3 LEF, ossia se il veicolo è necessario al debitore per l’esercizio della sua professione (cfr. DTF 117 III 22, 104 III 73, 97 III 52; Amonn/Gasser, Grundriss des Schuldbetreibungs-und Konkursrechts, Berna 1997, § 23 n.27, p.170; Fritzsche/Walder, Schuldbetreibung und Konkurs nach schweizerischem Recht, vol. I, Zurigo 1984, § 24 n..60; Georges Vonder Mühll in : Basler Kommentar zum SchKG, Vol. II, 1998, n. 119 s. ad art. 82 LEF). In casu il debitore, domiciliato a __________, esercita un'attività lucrativa a __________. Non si può pretendere da lui che utilizzi i mezzi pubblici per recarsi al lavoro: la trasferta comporterebbe un dispendio di tempo sproporzionato. Le spese correnti per l'autovettura, necessaria a __________ per l'esercizio della sua professione, devono quindi essere riconosciute e quantificate in fr. 400.-- mensili, ivi compresa la quota mensile per le assicurazioni obbligatorie.</w:t>
      </w:r>
    </w:p>
    <w:p>
      <w:r>
        <w:rPr>
          <w:b/>
        </w:rPr>
        <w:t>E. 4</w:t>
      </w:r>
    </w:p>
    <w:p>
      <w:r>
        <w:t>Il punto 2.4.3 della Tabella prevede per chi è costretto a prendere pasti fuori dell’economia domestica un importo da fr. 6.-- a fr. 9.-- per ogni pasto principale. Il debitore esercita, come già indicato al punto precedente, un'attività lavorativa a __________. Non è quindi proponibile il rientro al domicilio per il pranzo. Si giustifica quindi di riconoscere fr. 207.-- (fr. 9 x 23 giorni) per pasti fuori domicilio.</w:t>
      </w:r>
    </w:p>
    <w:p>
      <w:r>
        <w:rPr>
          <w:b/>
        </w:rPr>
        <w:t>E. 5</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104 III 38-41, 87 III 102 e 57 III 207; CEF 8 aprile 1991 su reclamo C.R: cons. 1, 30 agosto 1988 su reclamo B. cons. 4c, 4 agosto 1988 su reclamo S e 12 giugno 1970 in Rep. 1971 p. 117). L’importo del canone va messo in relazione con il reddito dell’escusso (CEF 16 febbraio 1989 su reclamo S. cons. 5b). Il debitore non può essere costretto dalle autorità di esecuzione ad occupare un alloggio corrispondente ai suoi mezzi finanziari: tuttavia il canone deve essere ridotto ad una misura normale se l’escusso utilizza un’abitazione costosa solo per sua eccessiva comodità (DTF 114 III 12-18 cons. 2 e 4; CEF 16 febbraio 1989 su reclamo S. cons. 5b). La decurtazione del quantum può però, di regola, essere operante solo nel rispetto dei termini contrattuali (DTF 119 III 73; Amonn/Gasser, Grundriss des Schuldbetreibungs-und Konkursrechts, Berna 1997, § 23 n. 64 p. 178). Le spese medie mensili di riscaldamento sono da aggiungere alla pigione (cfr. Georges Vonder Mühll, op. cit., n. 26 ad art. 93 LEF). In concreto l'escusso ha preteso il riconoscimento di fr. 1’550.-- a titolo di canone locatizio per l’appartamento di 6 locali che occupa con la moglie a __________. E’ di tutta evidenza che l’appartamento occupato da __________, ed il relativo canone locatizio, è manifestamente sproporzionato alle sue effettive esigenze. Di conseguenza il canone locatizio di fr. 1’550.-- (che a norma di contratto è destinato ad arrivare a fr. 1'680.--) non può più essere riconosciuto come tale in sede di determinazione del minimo di esistenza a partire dal primo termine utile di disdetta. Pertanto al debitore va ricordato che nel caso di ulteriori pignoramenti dal primo termine utile di disdetta del suo contratto di locazione (31 gennaio 2002) gli verrà riconosciuto quale canone locatizio un importo mensile di fr. 1'100.-- al massimo, spese di riscaldamento comprese, per un appartamento di 2 o 3 locali a __________ o in un comune viciniore. Per quel che riguarda il riscaldamento va rilevato che le spese per il consumo di energia elettrica per il 1998 (cfr. doc. G, H, I e fattura per il IV trimestre 1998) ammontano in media a fr. 725.- mensili. Non è dato di conoscere la quota destinata al riscaldamento (elettrico). La ripartizione proposta dal ricorrente (fr. 700.-- mensili) appare del tutto sproporzionata. Giustificata invece risulta la quantificazione in fr. 300.-- effettuata dall'UEF che, come tale, va mantenuta.</w:t>
      </w:r>
    </w:p>
    <w:p>
      <w:r>
        <w:rPr>
          <w:b/>
        </w:rPr>
        <w:t>E. 6</w:t>
      </w:r>
    </w:p>
    <w:p>
      <w:r>
        <w:t>Le spese per l'assicurazione malattia relative a entrambi i coniugi __________ non possono essere riconosciute poiché risulta evidente dalle esecuzioni partecipanti al pignoramento che i premi non vengono pagati (cfr. sopra, cons. 3.).</w:t>
      </w:r>
    </w:p>
    <w:p>
      <w:r>
        <w:rPr>
          <w:b/>
        </w:rPr>
        <w:t>E. 7</w:t>
      </w:r>
    </w:p>
    <w:p>
      <w:r>
        <w:t>L'eccedenza pignorabile di __________ va di conseguenza ricalcolata sulla base dei considerandi precedenti, e meglio: Introiti Debitore                                                                 fr. 3'392.-- Contr. moglie                                                         fr. 2'482.48 Totale mensile                                                       fr. 5'874.48 Minimo di esistenza minimo base                            fr. 1'370.-- locazione                                  fr. 1'550.-- riscaldamento                          fr. 300.-- trasferte per timbri                   fr.    100.-- spese auto marito                    fr.    400.-- pasti fuori dom. marito fr.    207.-- Totale deduzioni                      fr. 3'927.-- Minimo esistenza spettante al coniuge debitore fr. 3'927.-- x fr. 3'392.-- = fr. 2'267.50 mensili fr. 5874.48 Eccedenza mensile pignorabile fr. 3'392.-- ./. fr. 2'267.50 = fr. 1'125 mensili</w:t>
      </w:r>
    </w:p>
    <w:p>
      <w:r>
        <w:rPr>
          <w:b/>
        </w:rPr>
        <w:t>E. 8</w:t>
      </w:r>
    </w:p>
    <w:p>
      <w:r>
        <w:t>Ne consegue il parziale accoglimento del gravame. Non si prelevano spese (art. 61 cpv. 2 lett. a OTLEF) e non si assegnano indennità (art. 62 cpv. 2 OTLEF), perché così è disciplinato per normativa di diritto federale. Richiamati gli art. 93 e 116 LEF pronuncia:              1. Il ricorso 5 gennaio 1999 __________, è parzialmente accolto. 1.1. Di conseguenza la quota pignorabile dello stipendio percepito da __________ da __________, è fissata in fr. 1'125.-- mensili. 1.2. E’ fatto ordine all’UEF di Lugano di retrocedere a __________, una volta cresciuto in giudicato il presente pronunciato, l'eventuale differenza tra quanto pignorato (fr. 1'125.-- mensili) e quanto nel frattempo incassato dal datore di lavoro.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