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15.1999.00098 vom 23. August 1999</w:t>
      </w:r>
    </w:p>
    <w:p>
      <w:r>
        <w:t>TI Tribunale d'appello, 1999-08-23, IT</w:t>
      </w:r>
    </w:p>
    <w:p>
      <w:r>
        <w:rPr>
          <w:b/>
        </w:rPr>
        <w:t xml:space="preserve">Quelle: </w:t>
      </w:r>
      <w:r>
        <w:t>https://mcp.opencaselaw.ch/entscheid/ti_gerichte_15.1999.00098</w:t>
      </w:r>
    </w:p>
    <w:p>
      <w:r>
        <w:t>FR: TI_GERICHTE 15.1999.00098 du 23 août 1999</w:t>
      </w:r>
    </w:p>
    <w:p>
      <w:r>
        <w:t>IT: TI_GERICHTE 15.1999.00098 del 23 agosto 1999</w:t>
      </w:r>
    </w:p>
    <w:p>
      <w:pPr>
        <w:pStyle w:val="Heading2"/>
      </w:pPr>
      <w:r>
        <w:t>Regeste</w:t>
      </w:r>
    </w:p>
    <w:p>
      <w:r>
        <w:t>Sentenza o decisione senza scheda</w:t>
      </w:r>
    </w:p>
    <w:p>
      <w:pPr>
        <w:pStyle w:val="Heading2"/>
      </w:pPr>
      <w:r>
        <w:t>Erwägungen</w:t>
      </w:r>
    </w:p>
    <w:p>
      <w:r>
        <w:rPr>
          <w:b/>
        </w:rPr>
        <w:t>E. 1.1</w:t>
      </w:r>
    </w:p>
    <w:p>
      <w:r>
        <w:t>E’ dichiarata la nullità del verbale di sequestro 7 novembre 1998 (sequestro n. __________) allestito dall’UEF di Bellinzona in esecuzione del decreto di sequestro emanato il 2 novembre 1998 dal Pretore del Distretto di Bellinzona su istanza di _____________, nei confronti della __________ H__________g __________ __________ __________, a convalida del sequestro n. __________. .</w:t>
      </w:r>
    </w:p>
    <w:p>
      <w:r>
        <w:rPr>
          <w:b/>
        </w:rPr>
        <w:t>E. 1.2</w:t>
      </w:r>
    </w:p>
    <w:p>
      <w:r>
        <w:t>E’ dichiarata la nullità dell’esecuzione n.__________ dell’UEF di Bellinzona promossa da __________ -__________ __________, __________, nei confronti della __________ __________ __________, __________. 2. Non si prelevano spese, né si assegnano indennità.</w:t>
      </w:r>
    </w:p>
    <w:p>
      <w:r>
        <w:rPr>
          <w:b/>
        </w:rPr>
        <w:t>E. 2</w:t>
      </w:r>
    </w:p>
    <w:p>
      <w:r>
        <w:t>In concreto oggetto specifico del sequestro ordinato il 2 novembre 1998 dal Pretore del Distretto di Bellinzona è il saldo (attivo) riferito ai conti correnti postali N.__________ e __________ intestati alla __________ __________ __________, saldo che rappresenta in sostanza un credito della debitrice sequestrata nei confronti della __________. Si tratta all’evidenza di crediti non incorporati in cartevalori. Ora per costante giurisprudenza federale crediti ordinari non garantiti da pegno e non incorporati in cartevalori si ritengono posti al domicilio o alla sede del loro creditore (e debitore nel sequestro), se questi ha domicilio o sede in Svizzera (DTF 56 III 230, 64 III 130), rispettivamente al domicilio o alla sede del terzo debitore se il creditore escusso dimora invece all’estero oppure quando il suo domicilio non può essere determinato con certezza (DTF 63 III 44, 76 III 18, cfr. Jaeger/Walder/Kull/Kottmann, op.cit., n.3 ad art. 272 LEF; Walter Stoffel , Basler Kommentar zum SchKG, Basilea/Ginevra/Monaco 1998, Vol.III, n.40 ad art. 272 LEF; Reiser , op.cit. n.55 ad art. 275 LEF). Dagli atti risulta che la debitrice sequestrata D__________ __________ar __________ __________ ha la sede in Svizzera, e meglio a __________ (cfr. in particolare l’estratto 23 novembre 1998 dal registro di commercio del Canton; del resto è lo stesso creditore ad indicare __________ quale luogo della sede della debitrice sequestrata nella sua domanda di sequestro 30 ottobre 1998, rispettivamente nell’atto di ricorso 7 giugno 1999). Ne consegue che competente per ordinare il sequestro dei crediti della debitrice nei confronti della __________ è il giudice del sequestro del luogo della sede della __________, rispettivamente competente per eseguirlo è l’organo di esecuzione nella cui giurisdizione si trova la sede della __________ e dove per finzione si trovano anche i crediti da sequestrare. L'esecuzione del sequestro n.__________ ad opera  dell’UEF di Bellinzona è quindi nulla e non esplica pertanto alcun effetto giuridico, in quanto eseguito da un organo esecutivo territorialmente incompetente (DTF 103 III 88 cons.1 e rif.; Jaeger/Walder/Kull/Kottmann, op.cit., n.9 in fine ad art. 22 LEF e n.3 in fine ad art. 272 LEF con rif.). La nullità del sequestro - rilevabile d’ufficio dall’Autorità di vigilanza anche quando il provvedimento non sia stato impugnato (cfr. art. 22 LEF; Flavio Cometta , Basler Kommentar zum SchKG, Basilea/Ginevra/Monaco 1998, Vol.I, n.15 art. 22 LEF; Amonn/Gasser, op. cit., § 11 n. 44 e 45, p. 76) - comporta la nullità del verbale di sequestro 7 novembre 1998, nonché - per assenza di foro esecutivo a Bellinzona - di tutta la successiva procedura di convalida. In questo senso risulta privo d’oggetto il presente gravame in quanto diretto contro un atto riferito a procedura nulla ab initio .</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_________________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