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15.1998.83 vom 24. Juni 1998</w:t>
      </w:r>
    </w:p>
    <w:p>
      <w:r>
        <w:t>TI Tribunale d'appello, 1998-06-24, IT</w:t>
      </w:r>
    </w:p>
    <w:p>
      <w:r>
        <w:rPr>
          <w:b/>
        </w:rPr>
        <w:t xml:space="preserve">Quelle: </w:t>
      </w:r>
      <w:r>
        <w:t>https://mcp.opencaselaw.ch/entscheid/ti_gerichte_15.1998.83</w:t>
      </w:r>
    </w:p>
    <w:p>
      <w:r>
        <w:t>FR: TI_GERICHTE 15.1998.83 du 24 juin 1998</w:t>
      </w:r>
    </w:p>
    <w:p>
      <w:r>
        <w:t>IT: TI_GERICHTE 15.1998.83 del 24 giugno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24.06.1998 15.1998.83</w:t>
      </w:r>
    </w:p>
    <w:p>
      <w:r>
        <w:t>Sentenza o decisione senza scheda</w:t>
      </w:r>
    </w:p>
    <w:p>
      <w:r>
        <w:t>Incarto n. 15.98.00083 Lugano 24 giugno 1998 B/fc/fb In nome della Repubblica e Cantone del Ticino La Camera di esecuzione e fallimenti del Tribunale d'appello quale autorità di vigilanza composta dei giudici: Cometta, presidente Pellegrini e Zali segretario: Baur Martinelli, vicecancelliera statuendo sul ricorso 22 maggio 1998 di __________ contro l’operato dell’Ufficio esecuzione di Lugano e meglio contro la comminatoria di fallimento 12 maggio 1998 emessa nell’esecuzione n. __________ promossa contro la ricorrente da __________ rappr. dall'__________ preso atto che con provvedimento 5 giugno 1998 l’Ufficio esecuzione di Lugano, in seguito al ritiro della domanda di proseguimento da parte della __________, ha annullato la comminatoria di fallimento 12 maggio 1998; rilevato che il pregresso giudizio, munito dell’indicazione dei mezzi di ricorso, non è stato impugnato; considerato come il gravame sia così divenuto privo d’oggetto; richiamati gli art. 61 cpv. 2 lett. a e 62 cpv. 2 OTLEF pronuncia 1. Il ricorso 22 maggio 1998 di __________, è stralciato dai ruoli nel senso dei considerandi. 2. Non si prelevano spese e non si assegnano indennità. 3. Contro questa decisione è dato ricorso entro 10 giorni alla Camera delle esecuzioni e dei fallimenti del Tribunale federale, Losanna, per il tramite della scrivente Camera di esecuzione e fallimenti del Tribunale di appello, in conformità dell’art. 19 LEF. 4. Intimazione: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