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15.1998.80 vom 16. September 1998</w:t>
      </w:r>
    </w:p>
    <w:p>
      <w:r>
        <w:t>TI Tribunale d'appello, 1998-09-16, IT</w:t>
      </w:r>
    </w:p>
    <w:p>
      <w:r>
        <w:rPr>
          <w:b/>
        </w:rPr>
        <w:t xml:space="preserve">Quelle: </w:t>
      </w:r>
      <w:r>
        <w:t>https://mcp.opencaselaw.ch/entscheid/ti_gerichte_15.1998.80</w:t>
      </w:r>
    </w:p>
    <w:p>
      <w:r>
        <w:t>FR: TI_GERICHTE 15.1998.80 du 16 septembre 1998</w:t>
      </w:r>
    </w:p>
    <w:p>
      <w:r>
        <w:t>IT: TI_GERICHTE 15.1998.80 del 16 settembre 1998</w:t>
      </w:r>
    </w:p>
    <w:p>
      <w:pPr>
        <w:pStyle w:val="Heading2"/>
      </w:pPr>
      <w:r>
        <w:t>Regeste</w:t>
      </w:r>
    </w:p>
    <w:p>
      <w:r>
        <w:t>Sentenza o decisione senza scheda</w:t>
      </w:r>
    </w:p>
    <w:p>
      <w:pPr>
        <w:pStyle w:val="Heading2"/>
      </w:pPr>
      <w:r>
        <w:t>Erwägungen</w:t>
      </w:r>
    </w:p>
    <w:p>
      <w:r>
        <w:rPr>
          <w:b/>
        </w:rPr>
        <w:t>E. 2</w:t>
      </w:r>
    </w:p>
    <w:p>
      <w:r>
        <w:t>I ricorrenti chiedono che venga tenuto conto dei debiti contratti con la __________, la __________ e il __________.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dai ricorrenti per il pagamento dei debiti da loro contratti non possono entrare in linea di conto per il calcolo del minimo vitale: alla luce dei principi giurisprudenziali richiamati, nulla giustifica il privilegio che i debitori pretendono sia concesso a tali creditori. Abbondanzialmente si rileva altresì che non vi sarebbe alcuna garanzia che gli importi di cui si chiede la deduzione vengano effettivamente versati ai creditori __________, __________ e __________.</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w:t>
      </w:r>
    </w:p>
    <w:p>
      <w:r>
        <w:rPr>
          <w:b/>
        </w:rPr>
        <w:t>E. 4</w:t>
      </w:r>
    </w:p>
    <w:p>
      <w:r>
        <w:t>Nel caso in esame l’escusso __________ ha preteso il riconoscimento di fr. 1’100.-- a titolo di canone locatizio per l’appartamento di 3 ½ locali che occupa da solo __________. E’ di tutta evidenza che l’appartamento occupato dall’escusso, ed il relativo canone locatizio, sono manifestamente sproporzionati alle sue effettive esigenze, tenendo conto del fatto che egli risulta separato da __________, e che quest’ultima occupa a sua volta un appartamento di due locali a Contone. Di conseguenza il canone locatizio di fr. 1’100.--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700.-- al massimo, spese di riscaldamento comprese, per un appartamento monolocale a __________ o in un comune viciniore.</w:t>
      </w:r>
    </w:p>
    <w:p>
      <w:r>
        <w:rPr>
          <w:b/>
        </w:rPr>
        <w:t>E. 5</w:t>
      </w:r>
    </w:p>
    <w:p>
      <w:r>
        <w:t>Ne consegue la reiezione del gravame. Non si prelevano spese (art. 61 cpv. 2 lett. a OTLEF) e non si assegnano indennità (art. 62 cpv. 2 OTLEF), perché così è disciplinato per normativa di diritto federale. Richiamati gli art. 17 e 93 LEF pronuncia:              1. Il ricorso 2 giugno di __________ e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