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15.1998.62 vom 29. April 1998</w:t>
      </w:r>
    </w:p>
    <w:p>
      <w:r>
        <w:t>TI Tribunale d'appello, 1998-04-29, IT</w:t>
      </w:r>
    </w:p>
    <w:p>
      <w:r>
        <w:rPr>
          <w:b/>
        </w:rPr>
        <w:t xml:space="preserve">Quelle: </w:t>
      </w:r>
      <w:r>
        <w:t>https://mcp.opencaselaw.ch/entscheid/ti_gerichte_15.1998.62</w:t>
      </w:r>
    </w:p>
    <w:p>
      <w:r>
        <w:t>FR: TI_GERICHTE 15.1998.62 du 29 avril 1998</w:t>
      </w:r>
    </w:p>
    <w:p>
      <w:r>
        <w:t>IT: TI_GERICHTE 15.1998.62 del 29 aprile 1998</w:t>
      </w:r>
    </w:p>
    <w:p>
      <w:pPr>
        <w:pStyle w:val="Heading2"/>
      </w:pPr>
      <w:r>
        <w:t>Regeste</w:t>
      </w:r>
    </w:p>
    <w:p>
      <w:r>
        <w:t>Sentenza o decisione senza scheda</w:t>
      </w:r>
    </w:p>
    <w:p>
      <w:pPr>
        <w:pStyle w:val="Heading2"/>
      </w:pPr>
      <w:r>
        <w:t>Erwägungen</w:t>
      </w:r>
    </w:p>
    <w:p>
      <w:r>
        <w:rPr>
          <w:b/>
        </w:rPr>
        <w:t>E. 1</w:t>
      </w:r>
    </w:p>
    <w:p>
      <w:r>
        <w:t>Secondo l’art. 268 cpv. 1 CO per la pigione annuale scaduta e per quella del semestre in corso, il locatore di locali commerciali ha un diritto di ritenzione sulle cose mobili che vi si trovano e servono al loro uso o godimento. Ex art. 268 cpv. 3 CO sono esenti dal diritto di ritenzione gli oggetti che non potrebbero essere pignorati dai creditori del conduttore. Secondo l’art. 92 n. 3 LEF sono impignorabili gli arnesi, gli apparecchi, gli strumenti e i libri, in quanto siano necessari al debitore e alla sua famiglia per l’esercizio della professione. Non qualsiasi attività commerciale gode del beneficio dell’impignorabilità, ma solo la professione in senso stretto. Occorre pertanto distinguere tra professione ed impresa. La questione a sapere se si tratta di professione o di impresa, dipende da quali fattori di guadagno prevalgono: la forza lavoro personale e le conoscenze professionali del debitore e dei membri della sua famiglia oppure l’elemento capitalistico e il supporto di mano d’opera salariata. Questi fattori vanno valutati secondo le circostanze del caso specifico al momento del pignoramento. Questa distinzione deve essere fatta chiaramente solo per le persone fisiche: le persone giuridiche sottostanno infatti con tutto il loro patrimonio all’esecuzione forzata (DTF 67 III 21; Amonn/Gasser, Grundriss des Schuldbetreibungs- und Konkursrechts, Berna 1997, § 23 n. 24 p. 170; BlSchK 1979 p. 46-47, Antoine Favre in FJS n. 764 p. 2; CEF (VIG) sentenza 26 luglio 1994 su reclamo A. J.). Dalla documentazione prodotta dall’UEF di Mendrisio risulta che la __________ è iscritta a RC quale società anonima. Di conseguenza la ricorrente quale persona giuridica non può beneficiare della protezione legale ex art. 92 n. 3 LEF. L’UEF di Mendrisio, allestendo l’inventario per diritto di ritenzione in esame, ha pertanto operato correttamente.</w:t>
      </w:r>
    </w:p>
    <w:p>
      <w:r>
        <w:rPr>
          <w:b/>
        </w:rPr>
        <w:t>E. 2</w:t>
      </w:r>
    </w:p>
    <w:p>
      <w:r>
        <w:t>Non si prelevano spese e non si assegnano indennità.</w:t>
      </w:r>
    </w:p>
    <w:p>
      <w:r>
        <w:rPr>
          <w:b/>
        </w:rPr>
        <w:t>E. 3</w:t>
      </w:r>
    </w:p>
    <w:p>
      <w:r>
        <w:t>Contro questa decisione è dato ricorso entro 10 giorni alla Camera delle esecuzioni e dei fallimenti del Tribunale federale, Losanna, per il tramite della scrivente Camera di esecuzione e fallimenti del Tribunale di appello, in conformità dell’art. 19 LEF.</w:t>
      </w:r>
    </w:p>
    <w:p>
      <w:r>
        <w:rPr>
          <w:b/>
        </w:rPr>
        <w:t>E. 4</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