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15.1998.42 vom 26. Januar 1999</w:t>
      </w:r>
    </w:p>
    <w:p>
      <w:r>
        <w:t>TI Tribunale d'appello, 1999-01-26, IT</w:t>
      </w:r>
    </w:p>
    <w:p>
      <w:r>
        <w:rPr>
          <w:b/>
        </w:rPr>
        <w:t xml:space="preserve">Quelle: </w:t>
      </w:r>
      <w:r>
        <w:t>https://mcp.opencaselaw.ch/entscheid/ti_gerichte_15.1998.42</w:t>
      </w:r>
    </w:p>
    <w:p>
      <w:r>
        <w:t>FR: TI_GERICHTE 15.1998.42 du 26 janvier 1999</w:t>
      </w:r>
    </w:p>
    <w:p>
      <w:r>
        <w:t>IT: TI_GERICHTE 15.1998.42 del 26 gennaio 1999</w:t>
      </w:r>
    </w:p>
    <w:p>
      <w:pPr>
        <w:pStyle w:val="Heading2"/>
      </w:pPr>
      <w:r>
        <w:t>Regeste</w:t>
      </w:r>
    </w:p>
    <w:p>
      <w:r>
        <w:t>Sentenza o decisione senza scheda</w:t>
      </w:r>
    </w:p>
    <w:p>
      <w:pPr>
        <w:pStyle w:val="Heading2"/>
      </w:pPr>
      <w:r>
        <w:t>Erwägungen</w:t>
      </w:r>
    </w:p>
    <w:p>
      <w:r>
        <w:rPr>
          <w:b/>
        </w:rPr>
        <w:t>E. 1</w:t>
      </w:r>
    </w:p>
    <w:p>
      <w:r>
        <w:t>La rimunerazione dell’amministrazione fallimentare ordinaria e di quella speciale ha luogo, in teoria (art. 43 e 47 OTLEF), secondo gli stessi canoni dedotti dagli art. 44-47 OTLEF. In pratica, l'ufficio dei fallimenti, retribuito dal Cantone, tende ad applicare le tariffe - definite dell'amministrazione "tasse" - previste dagli art. 44-46 OTLEF, mentre l'amministrazione fallimentare speciale, non soggetta alla LORD (Legge sull'ordinamento degli impiegati dello Stato e dei docenti, del 15 marzo 1995, in: RL 2.5.4.1), predilige la rimunerazione superiore prevista dall'art. 47 OTLEF per le "procedure complesse". Siffatto modo di procedere non appare sempre giustificato.</w:t>
      </w:r>
    </w:p>
    <w:p>
      <w:r>
        <w:rPr>
          <w:b/>
        </w:rPr>
        <w:t>E. 1.1</w:t>
      </w:r>
    </w:p>
    <w:p>
      <w:r>
        <w:t>Di conseguenza è annullato il conteggio allestito il 16 settembre 1997 dall’Amministrazione fallimentare speciale del fallimento Eredi __________ relativo alla realizzazione della part. __________ RFD di __________.</w:t>
      </w:r>
    </w:p>
    <w:p>
      <w:r>
        <w:rPr>
          <w:b/>
        </w:rPr>
        <w:t>E. 2</w:t>
      </w:r>
    </w:p>
    <w:p>
      <w:r>
        <w:t>Per l'art. 261 LEF, incassata la somma ricavata da tutta la massa e divenuta definitiva la graduatoria, l'amministrazione fallimentare compila lo stato di ripartizione e il conto finale, che deposita per dieci giorni presso l'ufficio dei fallimenti (art. 263 cpv. 1 LEF), dandone notifica a ciascun creditore insieme a un estratto riguardante il suo riparto (art. 263 cpv. 2 LEF). Contro il conto finale è dato ricorso ex art. 17 LEF all'Autorità cantonale di vigilanza. Ne consegue che quest'ultima, se non vi è ricorso, non può in linea di principio intervenire, riservate le competenze dedotte dall'art. 2 OTLEF, che di regola sono esercitate in sede ispettiva.</w:t>
      </w:r>
    </w:p>
    <w:p>
      <w:r>
        <w:rPr>
          <w:b/>
        </w:rPr>
        <w:t>E. 2.1</w:t>
      </w:r>
    </w:p>
    <w:p>
      <w:r>
        <w:t>La rimunerazione dell’amministrazione fallimentare speciale è determinata secondo i seguenti parametri di retribuzione oraria: - __________ fr. 135.-- - avv. dott. __________ fr. 165.-- - __________ fr. 50.-- - lavori di segretariato fr. 50.--</w:t>
      </w:r>
    </w:p>
    <w:p>
      <w:r>
        <w:rPr>
          <w:b/>
        </w:rPr>
        <w:t>E. 2.2</w:t>
      </w:r>
    </w:p>
    <w:p>
      <w:r>
        <w:t>E’ fatto ordine all’amministrazione fallimentare speciale di determinarsi come ai considerandi 5,6 e 7 di questa sentenza. 3. Non si prelevano spese e non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r>
        <w:rPr>
          <w:b/>
        </w:rPr>
        <w:t>E. 3</w:t>
      </w:r>
    </w:p>
    <w:p>
      <w:r>
        <w:t>lett. b seconda parte OTLEF); -     se è stata designata la delegazione dei creditori, per ogni ora di seduta sono riconosciuti fr. 120.-- al presidente e al segretario (art. 46 cpv. 3 lett. a OTLEF) e fr. 100.-- agli altri membri della delegazione (art. 46 cpv. 3 lett. b prima parte OTLEF); -     per operazioni fuori seduta, l'indennità è di fr. 100.-- all'ora per tutti (Art. 46 cpv. 4 OTLEF).</w:t>
      </w:r>
    </w:p>
    <w:p>
      <w:r>
        <w:rPr>
          <w:b/>
        </w:rPr>
        <w:t>E. 4</w:t>
      </w:r>
    </w:p>
    <w:p>
      <w:r>
        <w:t>a) L'art. 47 OTLEF disciplina la rimunerazione straordinaria per le procedure complesse. Essa viene fissata dall'Autorità di vigilanza, che per l'art. 2 prima proposizione OTLEF sorveglia l'applicazione della OTLEF. La determinazione della rimunerazione ex art. 47 OTLEF rientra nella competenza originaria della CEF, il cui giudizio - non preceduto da alcun provvedimento autonomo degli organi d'esecuzione forzata, che si devono limitare all'invio di una proposta di tassazione (cfr. Cometta, op. cit., n. 3.2.4.4 ad art. 1, nota 78, p. 43) - è impugnabile al Tribunale federale con il ricorso dell'art. 19 LEF (art. 2 seconda proposizione OTLEF). b) Se la procedura richiede indagini approfondite della fattispecie o giuridiche,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c) Con tempo impiegato si intende quello che ragionevolmente doveva esserlo,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d) Le funzioni di amministrazione fallimentare - sia ordinaria che speciale - costituiscono esercizio di incombenze di natura pubblica e di conseguenza le prestazioni connesse sono sottoposte alla OTLEF e al principio di esclusività dedotto dall’art. 1. La rimunerazione non è in funzione di tariffe calcolate su base commerciale o corporativa ma costituisce emolumento di diritto amministrativo volto a procurare solo un equo indennizzo nell’ossequio del carattere sociale della normativa dedotta dalla OTLEF (STF [CEF] 3 settembre 1998 in re Afs E. A. B. c. Cassa S. cons. 3; DTF 120 III 100 cons. 2; DTF 108 III 69 cons. 2 ["Die Aufsichtsbehörde hat zu beachten, dass die Gebührenordnung des Tarifs auf sozialen Überlegungen beruht und dass nicht unbegrenzt hohe Forderungen der Konkursmasse belastet werden dürfen"]; DTF 103 III 68 n. 4 (Lettera 30 novembre 1977 della Camera delle esecuzioni e dei fallimenti all'Autorità di vigilanza del Cantone Ginevra); CEF 6 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È pertanto ammissibile restare, ad esempio, sotto il limite inferiore della Tariffa dell'Ordine degli avvocati del Cantone Ticino. Se il commissario è un avvocato libero professionista, la sua attività può essere retribuita come nel caso del gratuito patrocinio nell’assistenza giudiziaria secondo il diritto cantonale (CEF 2 marzo 1995 in re T. P. SA). Lo stesso vale per la tariffa della Camera svizzera delle società fiduciarie e degli esperti contabili (CEF 12 luglio 1994 quale autorità cantonale di vigilanza su reclamo S.- u. H. L. in liq. conc. e B. R. L. e R. s/A. in re F. J. B.). È un dato della comune esperienza che, anche nell’ipotesi che si tratti di una procedura fallimentare complessa, non si pongono in linea di principio solo questioni complicate: di regola è opportuno eseguire un calcolo misto. Si possono considerare i seguenti criteri (cfr. Cometta, op. cit., n. 3.2.4.4.c ad art. 1, p. 44 s.): -  un collaboratore giuridico, non libero professionista, va remunerato in termini leggermente inferiori per raffronto all'avvocato; -  il collaboratore accademico avrà rimunerazione superiore al non accademico, come pure il qualificato in altro modo rispetto al non qualificato; -  le indicazioni tariffali dovranno considerare che i giudici supplenti del Tribunale federale e del Tribunale federale delle assicurazioni hanno diritto - per lo studio di inserti e la stesura di rapporti - a un’indennità oraria di fr. 140.-- se esercitano una libera professione e di fr. 85.-- negli altri casi (art. 2 cpv. 1ter dell'Ordinanza che stabilisce le indennità di viaggio e le diarie dei membri del Tribunale federale e del Tribunale federale delle assicurazioni, in: RS 173.122, nella formulazione come alla modifica del 20 maggio 1998, in vigore dal 1. luglio 1998, non ancora in RS [cfr. RU 1998, p. 1502]. A titolo orientativo e mutatis mutandis si consideri che nel Cantone Ticino: a) ai medici specialisti FMH, membri della Commissione giuridica ex art. 14 LASP [Legge sull'assistenza sociopsichiatrica del 26 gennaio 1983, in: RL 6.3.2.1], è riconosciuta un'indennità di fr. 140.-- l'ora più le spese di trasferta (cfr. risoluzione 7 agosto 1996 del Consiglio di Stato, dispositivo n. 5, in: Foglio ufficiale cantonale n. 64 del 9 agosto 1996, p. 5143); b) il presidente del Tribunale arbitrale in materia di assicurazione contro le malattie e gli infortuni riscuote, se libero professionista, un'indennità di fr. 600.-- per giornata intera - corrispondente a fr. 75.-- per 8 ore lavorative al giorno - "per le incombenze affidategli, tutto compreso" (cfr. art. 15 cpv. 1 seconda proposizione del Regolamento del Consiglio di Stato del 18 marzo 1998 concernente l'organizzazione e la procedura del Tribunale arbitrale in materia di assicurazione contro le malattie e gli infortuni, in: BU 1998, p. 80, con il solo rilievo che per l'uso del veicolo privato in trasferta sono riconosciuti fr. 0.55 al km e per il pasto principale fr. 18.-- [cfr. art. 4 e 5 del Regolamento sulle indennità, in: RL 2.5.4.4.1, cui rinviano gli art. 14 cpv. 2 e 15 cpv. 3 del citato Regolamento 18 marzo 1998]); -  l'art. 36 LTG (in: RL 3.1.1.5) prevede per il patrocinatore d'ufficio in caso di assistenza giudiziaria (art. 155 ss. CPC ) un onorario dovuto dallo Stato pari al 70% di quello previsto dalla tariffa dell'Ordine degli avvocati del Cantone Ticino. In questo contesto, il Tribunale federale [I Corte di diritto pubblico] nella sentenza 31 gennaio 1996 su ricorso di diritto pubblico in re avv. G. c. Tribunal de première instance du Canton de Genève si è espresso nel senso che la prestazione professionale di un avvocato d'ufficio va retribuita in termini di equità tra Fr. 121.60 e Fr. 152.-- all'ora. Per l'art. 10 cpv. 1 TOA (in: RL 3.2.1.1.2) l'onorario minimo in base al dispendio orario è di regola di fr. 150.--. Il Tribunale federale ha già avuto modo di stabilire che è ammissibile retribuire gli avvocati nell'ambito dell'amministrazione di un fallimento come nei casi di un patrocinio d'ufficio (STF [CEF] 3 settembre 1998 in re Afs E. A. B. c. Cassa S. cons. 5; DTF 120 III 101 cons. 3a). e) In via di grande massima, avuto riguardo al carattere sociale che de lege lata connota la OTLEF, riservato l'esame puntuale caso per caso e ammesse eccezioni limitate a prestazioni di complessità accresciuta, si possono ragionevolmente prospettare - per chi opera in funzione di amministrazione fallimentare - valori compresi tra: -  fr. 140.--/170.--           per i liberi professionisti con titolo accademico (avvocati, economisti, ecc.); -  fr. 120.--/150.--           per dipendenti con titolo accademico -  fr. 110.--/140.--           per i liberi professionisti senza titolo accademico (fiduciari, commercialisti, contabili, revisori, periti, ecc.); -  fr. 100.--/130.--           per dipendenti senza titolo accademico. f) Gli amministratori fallimentari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g) Nel caso in cui gli amministratori fallimentari ricorrano a persone particolarmente qualificate per la trattazione di questioni specifiche, la rimunerazione di tali persone ausiliarie non potrà superare i valori riconosciuti agli amministratori stessi. Sono riservate ipotesi del tutto eccezionali, per le quali è richiesto il previo consenso dell'Autorità cantonale di vigilanza in applicazione dei combinati art. 2 e 47 OTLEF. h) La rimunerazione ex art. 47 OTLEF è fissata in linea di principio al termine della liquidazione fallimentare, in sede di deposito del conto finale che avviene contestualmente allo stato di ripartizione (art. 261 e 263 LEF). Nel caso di procedure che si estendono su più anni, in particolare per quelle complesse, si giustifica la determinazione dell'onorario per i lavori già svolti, per consentire il versamento di anticipi (CEF 6 maggio 1998 in re Cassa S. c. Afs E. A. B. cons. 1). i) È irricevibile perché prematura la domanda volta a far qualificare previamente e in astratto la procedura di liquidazione fallimentare siccome complessa - in mancanza di dati numerici concreti e rilevanti, fondati sulle prestazioni già eseguite e verificabili in termini oggettivi - con contestuale fissazione dei livelli rimunerativi vincolanti (CEF 27 giugno 1995 in re W. H., 3 marzo 1995 in re C. S. F. T. SA). È infatti di tutta evidenza l'impossibilità di un serio esame nella fase iniziale della liquidazione, tanto più che nell'ambito di procedure complesse ex art. 47 OTLEF non si pongono solo questioni complicate: sono ipotizzabili importi differenziati in funzione della qualità dell'attività effettivamente svolta, come pure retribuzioni computate secondo un calcolo misto e non valutate in base alle tariffe usuali vigenti per le attività della medesima natura (STF [CEF] 3 settembre 1998 in re Afs E. A. B. c. Cassa S. cons. 3; DTF 120 III 100 cons. 2). l) Sono suscettibili di indurre in errore i dati numerici che la Camera delle esecuzioni e dei fallimenti del Tribunale federale (DTF 120 III 100 s. cons. 3 a-d) ha ritenuto non essere aumentabili, come preteso dall'amministrazione speciale, atteso che non era oggetto d'esame - e quindi non partecipava della ratio decidendi - se tali dati fossero da reputare siccome congrui. m) Dal profilo della politica del diritto non appare del tutto giustificato il motivo di imporre tariffe sociali quando i creditori optano deliberatamente per l'amministrazione fallimentare speciale in luogo di quella ordinaria. De lege ferenda un ripensamento sarebbe auspicabile, non solo per evitare che vi sia disparità di trattamento per raffronto a quei Cantoni che, secondo taluni, prescindono dalla corretta applicazione della OTLEF, ma soprattutto per retribuire correttamente un'attività che esige alta professionalità. Un correttivo ad eventuali abusi potrebbe essere trovato nell'imporre una maggioranza qualificata - ad esempio il 75% dei creditori entranti in linea di conto, rappresentanti almeno il 75% dell'ammontare complessivo dei crediti - per passare all'amministrazione speciale retribuita secondo parametri che prescindono dai canoni moderatori della OTLEF. Siffatto indirizzo si orienta sui principi privatistici espressi dal New Public Management (sulla nozione, cfr. Paul Richli, Zu den Entfaltungsmöglichkeiten des New Public Management in der Verwaltungsrechtspflege, in: ZBl 1997, p. 289 ss.; Dieter Delwing / Hans Windlin, "New Public Management": Kritische Analyse aus staatsrechtlicher und staatspolitischer Sicht, in: ZBl 1996 p.183 ss.).</w:t>
      </w:r>
    </w:p>
    <w:p>
      <w:r>
        <w:rPr>
          <w:b/>
        </w:rPr>
        <w:t>E. 5</w:t>
      </w:r>
    </w:p>
    <w:p>
      <w:r>
        <w:t>Le tariffe prospettate dall’amministrazione speciale fallimentare non possono quindi essere accettate, in quanto in manifesto contrasto con i principi giurisprudenziali evidenziati nei considerandi precedenti. La rimunerazione oraria fatturata risulta infatti essere la seguente, senza distinzione tra attività di natura complessa o straordinaria e semplice o ordinaria, con i passaggi intermedi: - __________ fr. 240.-- - avv. dott. __________ fr. 240.-- - __________ fr. 130.-- - lavori di segretariato fr. 130.-- Il caso sottoposto al giudizio di questa Camera non presenta particolari difficoltà. Per quanto riguarda le operazioni svolte da __________ esse sono assimilabili a lavori di segretariato e di conseguenza vanno retribuite come questi ultimi. Avuto riguardo al carattere sociale della OTLEF e tenuto conto delle peculiarità del caso in esame, le tariffe applicabili sono quindi le seguenti: - __________ fr. 135.-- - avv. dott. __________ fr. 165.-- - __________ fr. 50.-- - lavori di segretariato fr. 50.--</w:t>
      </w:r>
    </w:p>
    <w:p>
      <w:r>
        <w:rPr>
          <w:b/>
        </w:rPr>
        <w:t>E. 6</w:t>
      </w:r>
    </w:p>
    <w:p>
      <w:r>
        <w:t>Il conteggio allestito dall’amministrazione fallimentare speciale non permette di determinare con sufficiente chiarezza l’ammontare delle ore di lavoro svolte e fatturate per le singole realizzazioni immobiliari, in particolare per quella qui sottoposta ad esame. Si impone quindi l’annullamento del provvedimento impugnato e l’allestimento del conteggio delle prestazioni effettuate dall’amministrazione fallimentare speciale, mediante l’applicazione delle tariffe di cui al considerando 5., per la part. __________ RFD di __________.</w:t>
      </w:r>
    </w:p>
    <w:p>
      <w:r>
        <w:rPr>
          <w:b/>
        </w:rPr>
        <w:t>E. 7</w:t>
      </w:r>
    </w:p>
    <w:p>
      <w:r>
        <w:t>Giusta l’art. 46 cpv. 1 RFF, applicabile anche alla procedura di fallimento per il rinvio dell’art. 130 cpv. 1 RFF, nelle condizioni d’incanto sarà richiesto il pagamento a contanti da computarsi sul prezzo di aggiudicazione: del capitale dei crediti ipotecari esigibili, degli interessi scaduti, compresi gli interessi moratori e le spese di esecuzione, delle spese di amministrazione del fondo, in quanto non siano coperte dal suo reddito, delle spese di realizzazione ed eventualmente della parte eccedente l’importo totale dei crediti garantiti da pegno. Le condizioni d’incanto della part. __________ RFD di __________ al punto 7b prevedono che: “L’aggiudicatario paga a contanti gli importi seguenti da computarsi sul prezzo di aggiudicazione: b)  le spese di amministrazione del fondo, in quanto non siano coperte dal suo reddito e le spese di realizzazione;” (cfr. doc. D). Orbene, nel caso di specie il reddito della part. __________ RFD di __________ ammonta a fr. 30’867.90 (cfr. allegato al doc. A). Sulla scorta di quanto sancito dall’art. 46 cpv. 1 RFF, nonché dalle condizioni d’incanto, tale reddito è destinato prioritariamente alla copertura delle spese di   amministrazione del fondo. Solo un eventuale residuo sarà attribuito ai creditori in sede di allestimento dello stato di ripartizione. L’amministrazione fallimentare speciale dovrà quindi dedurre le spese di amministrazione della part. __________ RFD di __________, calcolate con i criteri stabiliti nei considerandi precedenti, dal reddito conseguito dall’immobile in oggetto.</w:t>
      </w:r>
    </w:p>
    <w:p>
      <w:r>
        <w:rPr>
          <w:b/>
        </w:rPr>
        <w:t>E. 8</w:t>
      </w:r>
    </w:p>
    <w:p>
      <w:r>
        <w:t>Ne consegue l’accoglimento del ricorso. Non si prelevano spese ((art. 20a cpv. 1 primo periodo LEF, art. 61 cpv. 2 lett. a OTLEF) e non si assegnano indennità (art. 62 cpv. 2 OTLEF), perché così è disciplinato per normativa di diritto federale. Richiamati gli art. 237 cpv. 2 e 241 LEF, 1 ss., 49a OTLEF, 46 cpv. 1 RFF pronuncia: 1. Il ricorso 26 settembre 1997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