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15.1998.39 vom 30. April 1999</w:t>
      </w:r>
    </w:p>
    <w:p>
      <w:r>
        <w:t>TI Tribunale d'appello, 1999-04-30, IT</w:t>
      </w:r>
    </w:p>
    <w:p>
      <w:r>
        <w:rPr>
          <w:b/>
        </w:rPr>
        <w:t xml:space="preserve">Quelle: </w:t>
      </w:r>
      <w:r>
        <w:t>https://mcp.opencaselaw.ch/entscheid/ti_gerichte_15.1998.39</w:t>
      </w:r>
    </w:p>
    <w:p>
      <w:r>
        <w:t>FR: TI_GERICHTE 15.1998.39 du 30 avril 1999</w:t>
      </w:r>
    </w:p>
    <w:p>
      <w:r>
        <w:t>IT: TI_GERICHTE 15.1998.39 del 30 aprile 1999</w:t>
      </w:r>
    </w:p>
    <w:p>
      <w:pPr>
        <w:pStyle w:val="Heading2"/>
      </w:pPr>
      <w:r>
        <w:t>Regeste</w:t>
      </w:r>
    </w:p>
    <w:p>
      <w:r>
        <w:t>Sentenza o decisione senza scheda</w:t>
      </w:r>
    </w:p>
    <w:p>
      <w:pPr>
        <w:pStyle w:val="Heading2"/>
      </w:pPr>
      <w:r>
        <w:t>Erwägungen</w:t>
      </w:r>
    </w:p>
    <w:p>
      <w:r>
        <w:rPr>
          <w:b/>
        </w:rPr>
        <w:t>E. 2</w:t>
      </w:r>
    </w:p>
    <w:p>
      <w:r>
        <w:t>Le condizioni d’incanto stabiliscono le modalità di aggiudicazione del fondo e ne costituiscono la base legale (cfr. Fritzsche/ Walder, op.cit.,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 atteso che a differenza di quanto avviene nell’esecuzione speciale l’assegnazione al deliberatario - fino a concorrenza del prezzo di aggiudicazione - di un’obbligazione personale assistita da pegno ha effetto liberatorio per il fallito (cfr. art.130 cpv.4 RFF; Fritzsche/ Walder, Schuldbetreibung und Konkurs nach schweizerischem Recht, Vol. II, Zurigo 1993, §51 n.12 p.340).</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degli oneri reali che esistono e passano all’aggiudicatario per virtù di legge (cfr. art. 125 cpv.1 primo periodo RFF, art. 58 cpv.2 RUF). 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 c) Crediti assistiti da ipoteca legale devono tuttavia essere sempre saldati con la realizzazione: se sono scaduti al momento dell’incanto vanno pagati in contanti, con imputazione sul prezzo di aggiudicazione (cfr. combinati art. 130 cpv.1 e art. 46 cpv.1 e 2 RFF), se invece non sono ancora scaduti e quindi non iscritti nell’elenco oneri, vanno pagati dall’aggiudicatario senza imputazione sul prezzo nella misura in cui rientrano in quelli previsti dall’art. 49 cpv.1 lett.b RFF (cfr. combinati art. 130 cpv. 1 e 49 cpv.1 lett.b RFF), così come dovrà essere esplicitamente indicato nelle condizioni di vendita.</w:t>
      </w:r>
    </w:p>
    <w:p>
      <w:r>
        <w:rPr>
          <w:b/>
        </w:rPr>
        <w:t>E. 4</w:t>
      </w:r>
    </w:p>
    <w:p>
      <w:r>
        <w:t>Iscritti nell’elenco oneri - rispettivamente nella graduatoria fallimentare - possono essere soltanto crediti garantiti da pegno nei confronti del fallito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 Amonn/Gasser, op.cit., §42 n.8 p.233;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(DFT 106 III 123s. e rif. ivi).</w:t>
      </w:r>
    </w:p>
    <w:p>
      <w:r>
        <w:rPr>
          <w:b/>
        </w:rPr>
        <w:t>E. 5</w:t>
      </w:r>
    </w:p>
    <w:p>
      <w:r>
        <w:t>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La nota N.B. in calce alle condizioni d’asta va pertanto interamente depennata. Non può per contro essere accolta la richiesta di ridurre l’importo da pagarsi in contanti, stabilito al punto 9 delle condizioni d’incanto in fr. 1’100’000.--, a fronte di un valore di stima peritale di fr. 8’530’000.--. Non essendo specificata la destinazione dell’importo richiesto in contanti, ed essendo tale importo adeguato al valore dell’immobile, si giustifica il suo mantenimento nei termini stabiliti dall’UEF di Locarno.</w:t>
      </w:r>
    </w:p>
    <w:p>
      <w:r>
        <w:rPr>
          <w:b/>
        </w:rPr>
        <w:t>E. 6</w:t>
      </w:r>
    </w:p>
    <w:p>
      <w:r>
        <w:t>Ne consegue il parziale accoglimento del gravame. Non si prelevano spese (art. 20a cpv. 1 primo periodo LEF, 61 cpv. 2 lett. a OTLEF) e non si assegnano indennità (art. 62 cpv. 2 OTLEF), perché così è disciplinato per normativa di diritto federale. Richiamati gli art. 130, 134ss., 208, 209, 259, 261, 262 LEF, 36 ss., 46, 49ss. RFF, 85 RUF pronuncia:               1. Il ricorso 27 febbraio 1998 __________ è parzialmente accolto. 1.1. E’ depennata dalle condizioni d’incanto l’intera nota sub N.B. del seguente tenore: “N.B.:   Le imposte federali e cantonali derivanti dall’aggiudicazione (imposta federale utile sulla vendita di fr. 819’574.-- e la tassa utile immobiliare TUI di fr. 250’890.-- come a notifica del 10 febbraio 1998 ) saranno considerate quali spese della massa fallimentare e pertanto dovranno essere dedotte dal provento della realizzazione immobiliare e pagate in precedenza alla distribuzione del ricavo netto ai creditori ammessi in graduatoria (DTF 120 III 128 seg. ; DTF 120 III 153 seg. e Rep. 1994 pag. 441 seg.)” 1.2. L'UEF di Locarno procederà nel senso del dispositivo n. 1.1.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