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15.1998.214 vom 21. Januar 1999</w:t>
      </w:r>
    </w:p>
    <w:p>
      <w:r>
        <w:t>TI Tribunale d'appello, 1999-01-21, IT</w:t>
      </w:r>
    </w:p>
    <w:p>
      <w:r>
        <w:rPr>
          <w:b/>
        </w:rPr>
        <w:t xml:space="preserve">Quelle: </w:t>
      </w:r>
      <w:r>
        <w:t>https://mcp.opencaselaw.ch/entscheid/ti_gerichte_15.1998.214</w:t>
      </w:r>
    </w:p>
    <w:p>
      <w:r>
        <w:t>FR: TI_GERICHTE 15.1998.214 du 21 janvier 1999</w:t>
      </w:r>
    </w:p>
    <w:p>
      <w:r>
        <w:t>IT: TI_GERICHTE 15.1998.214 del 21 gennaio 1999</w:t>
      </w:r>
    </w:p>
    <w:p>
      <w:pPr>
        <w:pStyle w:val="Heading2"/>
      </w:pPr>
      <w:r>
        <w:t>Regeste</w:t>
      </w:r>
    </w:p>
    <w:p>
      <w:r>
        <w:t>Sentenza o decisione senza scheda</w:t>
      </w:r>
    </w:p>
    <w:p>
      <w:pPr>
        <w:pStyle w:val="Heading2"/>
      </w:pPr>
      <w:r>
        <w:t>Erwägungen</w:t>
      </w:r>
    </w:p>
    <w:p>
      <w:r>
        <w:rPr>
          <w:b/>
        </w:rPr>
        <w:t>E. 2</w:t>
      </w:r>
    </w:p>
    <w:p>
      <w:r>
        <w:t>L'UEF di Locarno ha omesso di accertare la situazione reddituale e della sostanza di __________, benché vi fosse tenuto d'ufficio. L'UEF provvederà quindi a interrogare la creditrice con la comminatoria di sanzioni penali in caso di indicazioni false. Dovranno pure essere richieste le necessarie pezze giustificative.</w:t>
      </w:r>
    </w:p>
    <w:p>
      <w:r>
        <w:rPr>
          <w:b/>
        </w:rPr>
        <w:t>E. 3</w:t>
      </w:r>
    </w:p>
    <w:p>
      <w:r>
        <w:t>L'ufficio dovrà altresì considerare che il debitore escusso per contributi alle spese di mantenimento e le cui risorse non bastino a coprire il minimo vitale, ivi compresi gli alimenti necessari al mantenimento del creditore, deve tollerare che il proprio minimo vitale sia intaccato in una misura che comporti sia per il creditore che per il debitore la stessa limitazione proporzionale rispetto al corrispondente fabbisogno vitale (DTF 105 III 48). Dovrà essere usata la formula seguente (cfr. DTF 111 III 16, 71 III 177-178 cons. 3; Georges Vonder Mühll in: Basler Kommentar zum SchKG, Vol. II, Basilea/Ginevra/Monaco 1998, n. 38 ss. ad art. 93 LEF): reddito del debitore d'alimenti x minimo d'esistenza del creditore d'alimenti ------------------------------------------------------------ = quota pignorabile minimo d'esistenza del debitore d'alimenti + minimo d'esistenza del creditore d'alimenti E' possibile intaccare il minimo d'esistenza del debitore d'alimenti solo per i crediti d'alimenti maturati nell'anno precedente la notifica del precetto esecutivo (cfr. DTF 111 III 15 cons. 5 e riferimenti ivi).</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