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15.1998.207 vom 25. März 1999</w:t>
      </w:r>
    </w:p>
    <w:p>
      <w:r>
        <w:t>TI Tribunale d'appello, 1999-03-25, IT</w:t>
      </w:r>
    </w:p>
    <w:p>
      <w:r>
        <w:rPr>
          <w:b/>
        </w:rPr>
        <w:t xml:space="preserve">Quelle: </w:t>
      </w:r>
      <w:r>
        <w:t>https://mcp.opencaselaw.ch/entscheid/ti_gerichte_15.1998.207</w:t>
      </w:r>
    </w:p>
    <w:p>
      <w:r>
        <w:t>FR: TI_GERICHTE 15.1998.207 du 25 mars 1999</w:t>
      </w:r>
    </w:p>
    <w:p>
      <w:r>
        <w:t>IT: TI_GERICHTE 15.1998.207 del 25 marzo 1999</w:t>
      </w:r>
    </w:p>
    <w:p>
      <w:pPr>
        <w:pStyle w:val="Heading2"/>
      </w:pPr>
      <w:r>
        <w:t>Erwägungen</w:t>
      </w:r>
    </w:p>
    <w:p>
      <w:r>
        <w:rPr>
          <w:b/>
        </w:rPr>
        <w:t>E. 2</w:t>
      </w:r>
    </w:p>
    <w:p>
      <w:r>
        <w:t>Nel pignoramento del reddito le autorità di esecuzione accertano d’ufficio le circostanze determinanti al momento dell’esecuzione del sequestro o del pignoramento, ossia il reddito del debitore e il fabbisogno suo o della sua famiglia (DTF 112 III 21; 108 III 12; 106 III 13), ritenuto che delle successive modifiche della situazione potrà essere tenuto conto soltanto mediante revisione del pignoramento (DTF 108 III 13).</w:t>
      </w:r>
    </w:p>
    <w:p>
      <w:r>
        <w:rPr>
          <w:b/>
        </w:rPr>
        <w:t>E. 3</w:t>
      </w:r>
    </w:p>
    <w:p>
      <w:r>
        <w:t>In concreto il ricorso in esame non mette in discussione le modalità di calcolo della quota di stipendio pignorabile. In effetti il calcolo è stato eseguito in maniera corretta e sulla base della necessaria documentazione. L'escusso è stato interrogato in tre occasioni. Una prima volta il 17 settembre 1998. A seguito del ricorso l'UE di Lugano ha provveduto a interrogare __________, in maniera molto più completa, il 16 novembre 1998. Da ultimo la CEF ha sentito l'escusso in data 14 dicembre 1998. In tutti i casi il debitore ha sottoscritto la propria dichiarazione. Ora, in quelle occasioni __________ ha avuto modo di spiegare che il substrato patrimoniale di cui disponeva al momento dell'interrogatorio davanti al PP (cfr. doc. C, prodotto dal ricorrente) si è andato dissolvendo a seguito di gravi problemi finanziari evidenziatisi nel frattempo. L'assegnazione, con la separazione dei beni, di alcune proprietà alla moglie sarebbe da far risalire all'aiuto economico da questa prestatogli negli ultimi anni nel tentativo di fargli superare le difficoltà finanziarie. Sulle esaurienti dichiarazioni dell'escusso potranno quindi basarsi eventuali creditori che, convinti dell'esistenza di beni occultati, volessero adire le vie penali o civili nei confronti di __________. Come si evince dal timbro apposto sul verbale di pignoramento impugnato, quest'ultimo costituisce un attestato provvisorio di carenza beni ex art. 115 cpv. 2 LEF. Quello definitivo potrà essere rilasciato solo alla scadenza del termine annuale di pignoramento (cfr. art. 93 cpv. 2 LEF) a seguito della ripartizione finale (art. 149 LEF).</w:t>
      </w:r>
    </w:p>
    <w:p>
      <w:r>
        <w:rPr>
          <w:b/>
        </w:rPr>
        <w:t>E. 4</w:t>
      </w:r>
    </w:p>
    <w:p>
      <w:r>
        <w:t>Intimazione a: - __________ Per la Camera di esecuzione e fallimenti del Tribunale d’appello quale autorità di vigilanza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