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15.1998.206 vom 22. Dezember 1998</w:t>
      </w:r>
    </w:p>
    <w:p>
      <w:r>
        <w:t>TI Tribunale d'appello, 1998-12-22, IT</w:t>
      </w:r>
    </w:p>
    <w:p>
      <w:r>
        <w:rPr>
          <w:b/>
        </w:rPr>
        <w:t xml:space="preserve">Quelle: </w:t>
      </w:r>
      <w:r>
        <w:t>https://mcp.opencaselaw.ch/entscheid/ti_gerichte_15.1998.206</w:t>
      </w:r>
    </w:p>
    <w:p>
      <w:r>
        <w:t>FR: TI_GERICHTE 15.1998.206 du 22 décembre 1998</w:t>
      </w:r>
    </w:p>
    <w:p>
      <w:r>
        <w:t>IT: TI_GERICHTE 15.1998.206 del 22 dicembre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LEF). L’ufficio avvisa il debitore, entro tre giorni, che il creditore ha domandato la realizzazione (art. 120 LEF):</w:t>
      </w:r>
    </w:p>
    <w:p>
      <w:r>
        <w:rPr>
          <w:b/>
        </w:rPr>
        <w:t>E. 2</w:t>
      </w:r>
    </w:p>
    <w:p>
      <w:r>
        <w:t>Nel caso di specie il pignoramento è stato eseguito il 30 settembre 1998 e la domanda di vendita è stata formulata il 5 novembre 1998 e la relativa comunicazione è stata notificata al ricorrente il 6 novembre 1998. L’operato dell’UE di Lugano è quindi da ritenere corretto, avendo quest’ultimo agito conformemente all’art. 120 LEF.</w:t>
      </w:r>
    </w:p>
    <w:p>
      <w:r>
        <w:rPr>
          <w:b/>
        </w:rPr>
        <w:t>E. 3</w:t>
      </w:r>
    </w:p>
    <w:p>
      <w:r>
        <w:t>Il ricorrente sostiene che la pretesa posta in esecuzione sarebbe stata compensata con il credito di oltre fr. 300’000.-- vantato dall’escusso nei confronti del Comune di __________. Tale tesi è però smentita dalla lettera 5 ottobre 1998 nella quale il Comune di __________ contesta la compensazione fatta valere dal ricorrente e manifesta la volontà di proseguire nell’incasso del credito per imposte comunali arretrate.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