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15.1998.202 vom 29. Januar 1999</w:t>
      </w:r>
    </w:p>
    <w:p>
      <w:r>
        <w:t>TI Tribunale d'appello, 1999-01-29, IT</w:t>
      </w:r>
    </w:p>
    <w:p>
      <w:r>
        <w:rPr>
          <w:b/>
        </w:rPr>
        <w:t xml:space="preserve">Quelle: </w:t>
      </w:r>
      <w:r>
        <w:t>https://mcp.opencaselaw.ch/entscheid/ti_gerichte_15.1998.202</w:t>
      </w:r>
    </w:p>
    <w:p>
      <w:r>
        <w:t>FR: TI_GERICHTE 15.1998.202 du 29 janvier 1999</w:t>
      </w:r>
    </w:p>
    <w:p>
      <w:r>
        <w:t>IT: TI_GERICHTE 15.1998.202 del 29 gennaio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Nel caso di specie __________ si aggrava contro il verbale di pignoramento 26 ottobre 1998. Le uniche allegazioni contenute nel gravame sono generiche affermazioni riguardanti le difficoltà economiche della debitrice e della sua famiglia. L’Ufficio avrebbe quindi dovuto assegnare alla ricorrente il termine dell’art.</w:t>
      </w:r>
    </w:p>
    <w:p>
      <w:r>
        <w:rPr>
          <w:b/>
        </w:rPr>
        <w:t>E. 7</w:t>
      </w:r>
    </w:p>
    <w:p>
      <w:r>
        <w:t>cpv. 5 LPR per completare l’atto insufficientemente motivato, non adempiendo lo stesso i requisiti sanciti dall’art. 7 cpv. 3 lett. b LPR. Gli atti vengono quindi retrocessi all’UE di Lugano, affinché assegni alla ricorrente un termine perentorio, non superiore a quello di ricorso, per motivare il gravame, con la comminatoria che altrimenti l’atto non sarà preso in considerazione e il ricorso dichiarato irricevibile. 3. Non si prelevano spese (art. 20a cpv. 1 primo periodo LEF, 61 cpv. 2 lett. a OTLEF) e non si assegnano indennità (art. 62 cpv. 2 OTLEF), perché così è disciplinato per normativa di diritto federale. Richiamati gli art. 17 LEF, 7 LPR pronuncia:           1. Il ricorso 30 ottobre 1998 di __________, è evaso nel senso dei considerandi 2. Gli atti vengono retrocessi all’UE di Lugano affinché abbia a determinarsi come al considerando 2. di questa sentenza. 3. Non si prelevano spese, né si assegnano indennità. 4. Contro questa decisione è dato ricorso entro dieci giorni alla Camera delle esecuzioni e dei fallimenti del Tribunale federale a Losanna, per il tramite della scrivente Camera di esecuzione e fallimenti del Tribunale d’appello, in conformità dell’art. 19 LEF. 5. Intimazione a: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