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15.1998.20 vom 19. Juni 1998</w:t>
      </w:r>
    </w:p>
    <w:p>
      <w:r>
        <w:t>TI Tribunale d'appello, 1998-06-19, IT</w:t>
      </w:r>
    </w:p>
    <w:p>
      <w:r>
        <w:rPr>
          <w:b/>
        </w:rPr>
        <w:t xml:space="preserve">Quelle: </w:t>
      </w:r>
      <w:r>
        <w:t>https://mcp.opencaselaw.ch/entscheid/ti_gerichte_15.1998.20</w:t>
      </w:r>
    </w:p>
    <w:p>
      <w:r>
        <w:t>FR: TI_GERICHTE 15.1998.20 du 19 juin 1998</w:t>
      </w:r>
    </w:p>
    <w:p>
      <w:r>
        <w:t>IT: TI_GERICHTE 15.1998.20 del 19 giugno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3 febbraio 1998 di __________, è respinto.</w:t>
      </w:r>
    </w:p>
    <w:p>
      <w:r>
        <w:rPr>
          <w:b/>
        </w:rPr>
        <w:t>E. 2</w:t>
      </w:r>
    </w:p>
    <w:p>
      <w:r>
        <w:t>Non si prelevano spese e non si assegnano indennità.</w:t>
      </w:r>
    </w:p>
    <w:p>
      <w:r>
        <w:rPr>
          <w:b/>
        </w:rPr>
        <w:t>E. 3</w:t>
      </w:r>
    </w:p>
    <w:p>
      <w:r>
        <w:t>Contro questa sentenza è dato ricorso entro dieci giorni alla Camera delle esecuzioni e dei fallimenti del Tribunale federale, Losanna, per il tramite della scrivente Camera di esecuzione e fallimenti del Tribunale d'appello, Lugano, in conformità dell'art. 19 LEF.</w:t>
      </w:r>
    </w:p>
    <w:p>
      <w:r>
        <w:rPr>
          <w:b/>
        </w:rPr>
        <w:t>E. 4</w:t>
      </w:r>
    </w:p>
    <w:p>
      <w:r>
        <w:t>Intimazione a:     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