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15.1998.19 vom 25. November 1998</w:t>
      </w:r>
    </w:p>
    <w:p>
      <w:r>
        <w:t>TI Tribunale d'appello, 1998-11-25, IT</w:t>
      </w:r>
    </w:p>
    <w:p>
      <w:r>
        <w:rPr>
          <w:b/>
        </w:rPr>
        <w:t xml:space="preserve">Quelle: </w:t>
      </w:r>
      <w:r>
        <w:t>https://mcp.opencaselaw.ch/entscheid/ti_gerichte_15.1998.19</w:t>
      </w:r>
    </w:p>
    <w:p>
      <w:r>
        <w:t>FR: TI_GERICHTE 15.1998.19 du 25 novembre 1998</w:t>
      </w:r>
    </w:p>
    <w:p>
      <w:r>
        <w:t>IT: TI_GERICHTE 15.1998.19 del 25 novembre 1998</w:t>
      </w:r>
    </w:p>
    <w:p>
      <w:pPr>
        <w:pStyle w:val="Heading2"/>
      </w:pPr>
      <w:r>
        <w:t>Regeste</w:t>
      </w:r>
    </w:p>
    <w:p>
      <w:r>
        <w:t>Sentenza o decisione senza scheda</w:t>
      </w:r>
    </w:p>
    <w:p>
      <w:pPr>
        <w:pStyle w:val="Heading2"/>
      </w:pPr>
      <w:r>
        <w:t>Erwägungen</w:t>
      </w:r>
    </w:p>
    <w:p>
      <w:r>
        <w:rPr>
          <w:b/>
        </w:rPr>
        <w:t>E. 2</w:t>
      </w:r>
    </w:p>
    <w:p>
      <w:r>
        <w:t>Nel caso di specie la __________ ha domandato la vendita dei beni pignorati il 20 luglio 1996, quindi entro un anno dal pignoramento eseguito il 19 settembre 1995. L’avviso di ricezione della domanda di vendita è stato notificato al debitore il 2 agosto 1996, mentre l’avviso d’incanto gli è stato trasmesso il 21 gennaio 1998. Orbene a prescindere dal fatto che tali atti esecutivi sono cresciuti in giudicato, non essendo stati impugnati dal debitore, l’operato dell’UEF di Bellinzona deve essere ritenuto corretto. Le allegazioni del ricorrente concernono questioni di merito che sfuggono al potere di cognizione di questa Camera. Abbondanzialmente va rilevato che la volontà della creditrice __________ di proseguire l’esecuzione nei confronti del ricorrente emerge chiaramente dalla lettera 12 gennaio 1998 indirizzata all’UEF di Bellinzona, nella quale si chiedono informazioni sullo stadio di avanzamento della procedura.</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