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15.1998.186 vom 15. März 1999</w:t>
      </w:r>
    </w:p>
    <w:p>
      <w:r>
        <w:t>TI Tribunale d'appello, 1999-03-15, IT</w:t>
      </w:r>
    </w:p>
    <w:p>
      <w:r>
        <w:rPr>
          <w:b/>
        </w:rPr>
        <w:t xml:space="preserve">Quelle: </w:t>
      </w:r>
      <w:r>
        <w:t>https://mcp.opencaselaw.ch/entscheid/ti_gerichte_15.1998.186</w:t>
      </w:r>
    </w:p>
    <w:p>
      <w:r>
        <w:t>FR: TI_GERICHTE 15.1998.186 du 15 mars 1999</w:t>
      </w:r>
    </w:p>
    <w:p>
      <w:r>
        <w:t>IT: TI_GERICHTE 15.1998.186 del 15 marzo 1999</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Di conseguenza l’attestato di carenza di beni 7 settembre 1998 emesso dall’UEF di Riviera per fr. 44’577.10 a favore __________ e di __________ nei confronti di __________ è annullato.</w:t>
      </w:r>
    </w:p>
    <w:p>
      <w:r>
        <w:rPr>
          <w:b/>
        </w:rPr>
        <w:t>E. 1.2</w:t>
      </w:r>
    </w:p>
    <w:p>
      <w:r>
        <w:t>L’UEF di Riviera procederà al pignoramento dell’importo di fr. 117.-- al mese dal salario di __________. 2. Non si prelevano spese e non si assegnano indennità.</w:t>
      </w:r>
    </w:p>
    <w:p>
      <w:r>
        <w:rPr>
          <w:b/>
        </w:rPr>
        <w:t>E. 2</w:t>
      </w:r>
    </w:p>
    <w:p>
      <w:r>
        <w:t>a) Dalle dichiarazioni di __________ risultanti dal verbale per le operazioni di pignoramento sottoscritto dal debitore il 1. settembre 1998, dalla relativa documentazione, così come dalle sue dichiarazioni, rilasciate durante l’interrogatorio formale, emergono i seguenti dati concernenti il suo introito e le sue  spese: Introito - salario __________                                                     fr. 1’875.-- - sussidio dall’assistenza sociale + assegno figlia      fr. 1 370.-- totale                                                                                 fr. 3’245.-- Minimo di esistenza - minimo base                            fr. 1’370.-- - affitto                                         fr. 1’045.-- - cassa malati                             fr.    213.-- - supplemento figlia                   fr.    300.-- - spese                                        fr.    200.-- totale                                            fr. 3’128.-- L’eccedenza mensile pignorabile ammonta pertanto a fr. 117.-- al mese. b) Dal verbale interno per le operazioni di pignoramento 1. settembre 1998, steso dall’UEF di Riviera e sottoscritto dal debitore, di cui alla narrativa fattuale sub B, emerge __________ ha dichiarato di essere stato edotto che la dissimulazione di beni, l’arbitraria disposizione di oggetti pignorati e l’incompleta indicazione dei beni che gli appartengono è punibile secondo gli art. 164, 169 e 323 n. 2 del Codice penale. Egli ha poi dichiarato che le indicazioni contenute nel predetto verbale sono esatte. Interrogato formalmente, sotto la comminatoria dell’art. 306 Codice penale, il debitore ha dichiarato per quel che concerne l’aumento del capitale sociale della __________ da fr. 50’000.-- a fr. 100’000.--, avvenuta nel corso del 1997, di avere ottenuto un prestito bancario grazie alla garanzia prestata dai suoi suoceri. Il 55% delle azioni della predetta società le ha donate a sua figlia. Il debitore ha poi rinviato alla lettera 7 maggio 1998 della società di revisione della __________ (doc. O). In questo scritto la __________ e __________ ha confermato che per la tassazione biennio 97/98 il capitale di __________ ammontava a fr. 1’411.--. Il bilancio della società al 1. gennaio 1997 riportava una perdita di fr. 137’060.35, per cui le azioni non avevano più alcun valore, le perdite superando l’intero valore del capitale azionario. Il conto corrente presso la __________ era diminuito di fr. 5’563.-- dal biennio 95/96 a quello 97/98 a causa delle esigenze familiari del debitore. Inoltre il credito di __________ nei confronti della __________ era passato da fr. 121’593.-- a fr. 89’749.20 al 1. gennaio 1997, la differenza di fr. 31’844.-- essendo stata consumata pure dalle esigenze familiari. La società di revisione ha poi dichiarato che il credito restante di fr. 89’749.20 ha dovuto essere postergato a favore di altri creditori. Orbene sulla base di queste dichiarazioni, non risultano elementi atti a ritenere che __________ al momento del pignoramento disponeva di ulteriori beni pignorabili, oltre all’eccedenza mensile di fr. 117.--. L’accertamento d’ufficio dei fatti avviene infatti nei limiti delle allegazioni delle parti e di quanto emerge oggettivamente dagli atti. In caso di dubbio sulla veridicità di tali dichiarazioni e della documentazione prodotta, i ricorrenti devono adire le vie penali, dal profilo esecutivo non essendovi mezzi coercitivi in tal senso, pur dovendo dar atto ai creditori che lascia alquanto perplessi il fatto che secondo quanto dichiarato da __________, amministratore unico della __________, contro quest’ultima non vi sono procedure esecutive in corso, nonostante le sue perdite superino il valore del capitale azionario.</w:t>
      </w:r>
    </w:p>
    <w:p>
      <w:r>
        <w:rPr>
          <w:b/>
        </w:rPr>
        <w:t>E. 3</w:t>
      </w:r>
    </w:p>
    <w:p>
      <w:r>
        <w:t>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4</w:t>
      </w:r>
    </w:p>
    <w:p>
      <w:r>
        <w:t>Intimazione: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