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15.1998.170 vom 10. März 1999</w:t>
      </w:r>
    </w:p>
    <w:p>
      <w:r>
        <w:t>TI Tribunale d'appello, 1999-03-10, IT</w:t>
      </w:r>
    </w:p>
    <w:p>
      <w:r>
        <w:rPr>
          <w:b/>
        </w:rPr>
        <w:t xml:space="preserve">Quelle: </w:t>
      </w:r>
      <w:r>
        <w:t>https://mcp.opencaselaw.ch/entscheid/ti_gerichte_15.1998.170</w:t>
      </w:r>
    </w:p>
    <w:p>
      <w:r>
        <w:t>FR: TI_GERICHTE 15.1998.170 du 10 mars 1999</w:t>
      </w:r>
    </w:p>
    <w:p>
      <w:r>
        <w:t>IT: TI_GERICHTE 15.1998.170 del 10 marzo 1999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Nel caso di specie il ricorso è stato direttamente inoltrato all’Autorità di vigilanza. Esso verte essenzialmente sull’ammontare delle spese esecutive e può essere già deciso sulla scorta dei documenti prodotti dal ricorrente. Di conseguenza si giustifica l’assenza di istruttoria.</w:t>
      </w:r>
    </w:p>
    <w:p>
      <w:r>
        <w:rPr>
          <w:b/>
        </w:rPr>
        <w:t>E. 3</w:t>
      </w:r>
    </w:p>
    <w:p>
      <w:r>
        <w:t>__________ contesta il fatto che l’UE di Lugano abbia richiesto alla moglie il pagamento dell’importo di fr. 190.--, avendo egli già versato fr. 2’108.40 a saldo dell’esecuzione n__________. Orbene dalla copia della ricevuta dell’Ufficio prodotta dal ricorrente si evince che l’importo di fr. 190.-- è stato versato da __________ a copertura delle spese di sequestro. Essendo __________ e __________ debitori solidali nei confronti di __________ ed avendo il Giudice di pace di Lugano emanato due distinti decreti di sequestro, si giustifica la riscossione delle spese anche nei confronti della debitrice solidale __________</w:t>
      </w:r>
    </w:p>
    <w:p>
      <w:r>
        <w:rPr>
          <w:b/>
        </w:rPr>
        <w:t>E. 4</w:t>
      </w:r>
    </w:p>
    <w:p>
      <w:r>
        <w:t>Intimazione a: -__________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