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15.1998.164 vom 20. Januar 1999</w:t>
      </w:r>
    </w:p>
    <w:p>
      <w:r>
        <w:t>TI Tribunale d'appello, 1999-01-20, IT</w:t>
      </w:r>
    </w:p>
    <w:p>
      <w:r>
        <w:rPr>
          <w:b/>
        </w:rPr>
        <w:t xml:space="preserve">Quelle: </w:t>
      </w:r>
      <w:r>
        <w:t>https://mcp.opencaselaw.ch/entscheid/ti_gerichte_15.1998.164</w:t>
      </w:r>
    </w:p>
    <w:p>
      <w:r>
        <w:t>FR: TI_GERICHTE 15.1998.164 du 20 janvier 1999</w:t>
      </w:r>
    </w:p>
    <w:p>
      <w:r>
        <w:t>IT: TI_GERICHTE 15.1998.164 del 20 gennaio 1999</w:t>
      </w:r>
    </w:p>
    <w:p>
      <w:pPr>
        <w:pStyle w:val="Heading2"/>
      </w:pPr>
      <w:r>
        <w:t>Regeste</w:t>
      </w:r>
    </w:p>
    <w:p>
      <w:r>
        <w:t>Sentenza o decisione senza scheda</w:t>
      </w:r>
    </w:p>
    <w:p>
      <w:pPr>
        <w:pStyle w:val="Heading2"/>
      </w:pPr>
      <w:r>
        <w:t>Erwägungen</w:t>
      </w:r>
    </w:p>
    <w:p>
      <w:r>
        <w:rPr>
          <w:b/>
        </w:rPr>
        <w:t>E. 2</w:t>
      </w:r>
    </w:p>
    <w:p>
      <w:r>
        <w:t>Nel caso di specie il ricorrente ha affermato, con scritto 14 settembre 1998, che tra i coniugi vige il regime ordinario dei beni. L’immobile oggetto dell’esecuzione n.__________ e la part.__________ di __________, quindi non si tratta di un’abitazione familiare ex art. 169 CC, essendo i coniugi __________ domiciliati a __________. Ne consegue che gli art. 68a e 68b LEF non sono applicabili alla fattispecie in esame e l’UE di Lugano ha quindi agito correttamente, non notificando il precetto esecutivo a __________ in quanto egli non è parte nella procedura esecutiva n. __________</w:t>
      </w:r>
    </w:p>
    <w:p>
      <w:r>
        <w:rPr>
          <w:b/>
        </w:rPr>
        <w:t>E. 3</w:t>
      </w:r>
    </w:p>
    <w:p>
      <w:r>
        <w:t>Secondo giurisprudenza e dottrina la legittimazione a presentare ricorso è un presupposto processuale che deve essere riconosciuto a ogni parte lesa nei suoi interessi giuridicamente protetti da una misura dell’organo di esecuzione forzata, costitutiva di pregiudizio di fatto attuale (Flavio Cometta, Commentario alla LPR, Lugano 1998, n.3.3.1. ad art. 7). Vi é carenza di legittimazione processuale, ad esempio, quando il ricorrente è persona completamente estranea all’esecuzione, quando non pretende di rappresentare l’escusso e nemmeno vanta diritto alcuno sui beni della realizzazione in corso, come pure quando non è toccato nei suoi interessi specifici (Cfr. Cometta, op. cit., n. 3.3.1.a)) ad art. 7).Il ricorrente invoca la violazione degli art. 152 e 154 LEF. Tali norme si riferiscono alla stesura del precetto esecutivo ed ai termini per richiedere la realizzazione del pegno. Non essendo __________ parte nella procedura esecutiva n. __________ promossa nei confronti della moglie __________, egli non ha facoltà di ricorso in merito.</w:t>
      </w:r>
    </w:p>
    <w:p>
      <w:r>
        <w:rPr>
          <w:b/>
        </w:rPr>
        <w:t>E. 4</w:t>
      </w:r>
    </w:p>
    <w:p>
      <w:r>
        <w:t>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